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E877">
      <w:pPr>
        <w:pStyle w:val="6"/>
        <w:ind w:firstLine="210"/>
        <w:jc w:val="center"/>
        <w:rPr>
          <w:rFonts w:hint="eastAsia" w:ascii="宋体" w:hAnsi="宋体" w:cs="宋体"/>
          <w:bCs/>
          <w:sz w:val="44"/>
          <w:szCs w:val="44"/>
          <w:lang w:eastAsia="zh-CN"/>
        </w:rPr>
      </w:pPr>
    </w:p>
    <w:p w14:paraId="57516EB1">
      <w:pPr>
        <w:pStyle w:val="6"/>
        <w:ind w:firstLine="210"/>
        <w:jc w:val="center"/>
        <w:rPr>
          <w:rFonts w:hint="eastAsia" w:ascii="宋体" w:hAnsi="宋体" w:cs="宋体"/>
          <w:bCs/>
          <w:sz w:val="44"/>
          <w:szCs w:val="44"/>
          <w:lang w:eastAsia="zh-CN"/>
        </w:rPr>
      </w:pPr>
    </w:p>
    <w:p w14:paraId="35FCBD07">
      <w:pPr>
        <w:pStyle w:val="6"/>
        <w:ind w:firstLine="210"/>
        <w:jc w:val="center"/>
        <w:rPr>
          <w:rFonts w:hint="eastAsia" w:ascii="宋体" w:hAnsi="宋体" w:cs="宋体"/>
          <w:bCs/>
          <w:sz w:val="44"/>
          <w:szCs w:val="44"/>
          <w:lang w:eastAsia="zh-CN"/>
        </w:rPr>
      </w:pPr>
    </w:p>
    <w:p w14:paraId="1D8EB077">
      <w:pPr>
        <w:pStyle w:val="6"/>
        <w:ind w:firstLine="210"/>
        <w:jc w:val="center"/>
        <w:rPr>
          <w:rFonts w:hint="eastAsia"/>
        </w:rPr>
      </w:pPr>
      <w:r>
        <w:rPr>
          <w:rFonts w:hint="eastAsia" w:ascii="宋体" w:hAnsi="宋体" w:cs="宋体"/>
          <w:bCs/>
          <w:sz w:val="44"/>
          <w:szCs w:val="44"/>
          <w:lang w:eastAsia="zh-CN"/>
        </w:rPr>
        <w:t>中山市古镇人民医院基于价值医疗的战略品牌管理体系建立项目（第一期）采购项目</w:t>
      </w:r>
    </w:p>
    <w:p w14:paraId="7B60FC9C">
      <w:pPr>
        <w:jc w:val="center"/>
        <w:rPr>
          <w:rFonts w:hint="eastAsia" w:ascii="黑体" w:hAnsi="黑体" w:eastAsia="黑体" w:cs="黑体"/>
          <w:sz w:val="28"/>
          <w:szCs w:val="28"/>
        </w:rPr>
      </w:pPr>
    </w:p>
    <w:p w14:paraId="3C282A1A">
      <w:pPr>
        <w:jc w:val="center"/>
        <w:rPr>
          <w:rFonts w:hint="eastAsia" w:ascii="黑体" w:hAnsi="黑体" w:eastAsia="黑体" w:cs="黑体"/>
          <w:sz w:val="28"/>
          <w:szCs w:val="28"/>
        </w:rPr>
      </w:pPr>
      <w:r>
        <w:rPr>
          <w:rFonts w:hint="eastAsia" w:ascii="黑体" w:hAnsi="黑体" w:eastAsia="黑体" w:cs="黑体"/>
          <w:sz w:val="28"/>
          <w:szCs w:val="28"/>
        </w:rPr>
        <w:t>（项目编号：</w:t>
      </w:r>
      <w:r>
        <w:rPr>
          <w:rFonts w:hint="eastAsia" w:ascii="宋体" w:hAnsi="宋体" w:eastAsia="黑体" w:cs="宋体"/>
          <w:bCs/>
          <w:sz w:val="28"/>
          <w:szCs w:val="28"/>
          <w:lang w:val="en-US" w:eastAsia="zh-CN"/>
        </w:rPr>
        <w:t>GYCG-</w:t>
      </w:r>
      <w:r>
        <w:rPr>
          <w:rFonts w:hint="eastAsia" w:ascii="宋体" w:hAnsi="宋体" w:cs="宋体"/>
          <w:bCs/>
          <w:sz w:val="28"/>
          <w:szCs w:val="28"/>
          <w:lang w:val="en-US" w:eastAsia="zh-CN"/>
        </w:rPr>
        <w:t>ZWK</w:t>
      </w:r>
      <w:r>
        <w:rPr>
          <w:rFonts w:ascii="宋体" w:hAnsi="宋体" w:cs="宋体"/>
          <w:bCs/>
          <w:sz w:val="28"/>
          <w:szCs w:val="28"/>
        </w:rPr>
        <w:t>-202</w:t>
      </w:r>
      <w:r>
        <w:rPr>
          <w:rFonts w:hint="eastAsia" w:ascii="宋体" w:hAnsi="宋体" w:cs="宋体"/>
          <w:bCs/>
          <w:sz w:val="28"/>
          <w:szCs w:val="28"/>
          <w:lang w:val="en-US" w:eastAsia="zh-CN"/>
        </w:rPr>
        <w:t>40901</w:t>
      </w:r>
      <w:r>
        <w:rPr>
          <w:rFonts w:hint="eastAsia" w:ascii="黑体" w:hAnsi="黑体" w:eastAsia="黑体" w:cs="黑体"/>
          <w:sz w:val="28"/>
          <w:szCs w:val="28"/>
        </w:rPr>
        <w:t>）</w:t>
      </w:r>
    </w:p>
    <w:p w14:paraId="69DA9C80">
      <w:pPr>
        <w:pStyle w:val="6"/>
        <w:ind w:firstLine="280"/>
        <w:rPr>
          <w:rFonts w:hint="eastAsia" w:ascii="黑体" w:hAnsi="黑体" w:eastAsia="黑体" w:cs="黑体"/>
          <w:bCs/>
          <w:sz w:val="28"/>
          <w:szCs w:val="28"/>
        </w:rPr>
      </w:pPr>
    </w:p>
    <w:p w14:paraId="280FE25C">
      <w:pPr>
        <w:pStyle w:val="6"/>
        <w:ind w:firstLine="440"/>
        <w:rPr>
          <w:rFonts w:hint="eastAsia" w:ascii="宋体" w:hAnsi="宋体" w:cs="宋体"/>
          <w:bCs/>
          <w:sz w:val="44"/>
          <w:szCs w:val="44"/>
        </w:rPr>
      </w:pPr>
    </w:p>
    <w:p w14:paraId="4B789483">
      <w:pPr>
        <w:pStyle w:val="6"/>
        <w:ind w:firstLine="440"/>
        <w:rPr>
          <w:rFonts w:hint="eastAsia" w:ascii="宋体" w:hAnsi="宋体" w:cs="宋体"/>
          <w:bCs/>
          <w:sz w:val="44"/>
          <w:szCs w:val="44"/>
        </w:rPr>
      </w:pPr>
    </w:p>
    <w:p w14:paraId="54BEFA8C">
      <w:pPr>
        <w:jc w:val="center"/>
        <w:rPr>
          <w:rFonts w:hint="eastAsia" w:ascii="宋体" w:hAnsi="宋体"/>
          <w:sz w:val="84"/>
        </w:rPr>
      </w:pPr>
    </w:p>
    <w:p w14:paraId="5965FF78">
      <w:pPr>
        <w:jc w:val="center"/>
        <w:rPr>
          <w:rFonts w:hint="eastAsia" w:ascii="宋体" w:hAnsi="宋体"/>
          <w:sz w:val="52"/>
        </w:rPr>
      </w:pPr>
      <w:r>
        <w:rPr>
          <w:rFonts w:hint="eastAsia" w:ascii="宋体" w:hAnsi="宋体"/>
          <w:b/>
          <w:bCs/>
          <w:spacing w:val="60"/>
          <w:sz w:val="84"/>
          <w:szCs w:val="84"/>
        </w:rPr>
        <w:t>采购文件</w:t>
      </w:r>
    </w:p>
    <w:p w14:paraId="525F42B2">
      <w:pPr>
        <w:pStyle w:val="6"/>
        <w:ind w:firstLine="520"/>
        <w:rPr>
          <w:rFonts w:hint="eastAsia" w:ascii="宋体" w:hAnsi="宋体"/>
          <w:sz w:val="52"/>
        </w:rPr>
      </w:pPr>
    </w:p>
    <w:p w14:paraId="4941A1BC">
      <w:pPr>
        <w:pStyle w:val="6"/>
        <w:ind w:firstLine="520"/>
        <w:rPr>
          <w:rFonts w:hint="eastAsia" w:ascii="宋体" w:hAnsi="宋体"/>
          <w:sz w:val="52"/>
        </w:rPr>
      </w:pPr>
    </w:p>
    <w:p w14:paraId="4440A717">
      <w:pPr>
        <w:rPr>
          <w:rFonts w:hint="eastAsia" w:ascii="宋体" w:hAnsi="宋体"/>
          <w:sz w:val="52"/>
        </w:rPr>
      </w:pPr>
    </w:p>
    <w:p w14:paraId="6F866036">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中山市古镇人民医院</w:t>
      </w:r>
    </w:p>
    <w:p w14:paraId="040D6C6A">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w:t>
      </w:r>
      <w:r>
        <w:rPr>
          <w:rFonts w:hint="eastAsia" w:ascii="宋体" w:hAnsi="宋体" w:eastAsia="仿宋_GB2312"/>
          <w:b/>
          <w:bCs/>
          <w:sz w:val="36"/>
          <w:szCs w:val="36"/>
          <w:lang w:val="en-US" w:eastAsia="zh-CN"/>
        </w:rPr>
        <w:t>四</w:t>
      </w:r>
      <w:r>
        <w:rPr>
          <w:rFonts w:hint="eastAsia" w:ascii="仿宋_GB2312" w:hAnsi="仿宋" w:eastAsia="仿宋_GB2312"/>
          <w:b/>
          <w:bCs/>
          <w:sz w:val="36"/>
          <w:szCs w:val="36"/>
        </w:rPr>
        <w:t>年</w:t>
      </w:r>
      <w:r>
        <w:rPr>
          <w:rFonts w:hint="eastAsia" w:ascii="仿宋_GB2312" w:hAnsi="仿宋" w:eastAsia="仿宋_GB2312"/>
          <w:b/>
          <w:bCs/>
          <w:sz w:val="36"/>
          <w:szCs w:val="36"/>
          <w:lang w:val="en-US" w:eastAsia="zh-CN"/>
        </w:rPr>
        <w:t>九</w:t>
      </w:r>
      <w:r>
        <w:rPr>
          <w:rFonts w:hint="eastAsia" w:ascii="仿宋_GB2312" w:hAnsi="仿宋" w:eastAsia="仿宋_GB2312"/>
          <w:b/>
          <w:bCs/>
          <w:sz w:val="36"/>
          <w:szCs w:val="36"/>
        </w:rPr>
        <w:t>月</w:t>
      </w:r>
      <w:r>
        <w:rPr>
          <w:rFonts w:hint="eastAsia"/>
        </w:rPr>
        <w:t xml:space="preserve"> </w:t>
      </w:r>
    </w:p>
    <w:p w14:paraId="2EBC8661">
      <w:pPr>
        <w:spacing w:line="360" w:lineRule="auto"/>
        <w:jc w:val="both"/>
        <w:rPr>
          <w:rFonts w:hint="eastAsia" w:ascii="宋体"/>
          <w:b/>
          <w:sz w:val="44"/>
        </w:rPr>
      </w:pPr>
    </w:p>
    <w:p w14:paraId="75EAF503">
      <w:pPr>
        <w:pStyle w:val="11"/>
        <w:jc w:val="lef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1"/>
          <w:cols w:space="720" w:num="1"/>
          <w:titlePg/>
          <w:docGrid w:linePitch="312" w:charSpace="0"/>
        </w:sectPr>
      </w:pPr>
    </w:p>
    <w:p w14:paraId="049488CD">
      <w:pPr>
        <w:pStyle w:val="11"/>
        <w:jc w:val="center"/>
        <w:rPr>
          <w:rFonts w:hint="eastAsia" w:ascii="宋体" w:hAnsi="宋体" w:eastAsia="宋体" w:cs="宋体"/>
          <w:sz w:val="32"/>
          <w:szCs w:val="32"/>
        </w:rPr>
      </w:pPr>
      <w:bookmarkStart w:id="0" w:name="_Toc342064910"/>
      <w:r>
        <w:rPr>
          <w:rFonts w:hint="eastAsia" w:ascii="宋体" w:hAnsi="宋体" w:eastAsia="宋体" w:cs="宋体"/>
          <w:sz w:val="32"/>
          <w:szCs w:val="32"/>
        </w:rPr>
        <w:t>一、</w:t>
      </w:r>
      <w:bookmarkEnd w:id="0"/>
      <w:r>
        <w:rPr>
          <w:rFonts w:hint="eastAsia" w:ascii="宋体" w:hAnsi="宋体" w:eastAsia="宋体" w:cs="宋体"/>
          <w:sz w:val="32"/>
          <w:szCs w:val="32"/>
        </w:rPr>
        <w:t>采购邀请函</w:t>
      </w:r>
    </w:p>
    <w:p w14:paraId="5225AAF9">
      <w:pPr>
        <w:spacing w:line="460" w:lineRule="exact"/>
        <w:rPr>
          <w:rFonts w:hint="eastAsia" w:ascii="宋体" w:hAnsi="宋体"/>
          <w:kern w:val="28"/>
          <w:szCs w:val="21"/>
        </w:rPr>
      </w:pPr>
      <w:r>
        <w:rPr>
          <w:rFonts w:hint="eastAsia" w:ascii="宋体" w:hAnsi="宋体"/>
          <w:kern w:val="28"/>
          <w:szCs w:val="21"/>
        </w:rPr>
        <w:t>各潜在供应商：</w:t>
      </w:r>
    </w:p>
    <w:p w14:paraId="4836E806">
      <w:pPr>
        <w:spacing w:line="460" w:lineRule="exact"/>
        <w:ind w:firstLine="420" w:firstLineChars="200"/>
        <w:rPr>
          <w:rFonts w:hint="eastAsia" w:hAnsi="宋体"/>
          <w:bCs/>
          <w:kern w:val="28"/>
          <w:szCs w:val="21"/>
          <w:highlight w:val="none"/>
        </w:rPr>
      </w:pPr>
      <w:r>
        <w:rPr>
          <w:rFonts w:hint="eastAsia" w:ascii="宋体" w:hAnsi="宋体"/>
          <w:bCs/>
          <w:kern w:val="28"/>
          <w:szCs w:val="21"/>
        </w:rPr>
        <w:t>中山市古镇人民医院对</w:t>
      </w:r>
      <w:r>
        <w:rPr>
          <w:rFonts w:hint="eastAsia" w:ascii="宋体" w:hAnsi="宋体"/>
          <w:bCs/>
          <w:kern w:val="28"/>
          <w:szCs w:val="21"/>
          <w:lang w:eastAsia="zh-CN"/>
        </w:rPr>
        <w:t>中山市古镇人民医院基于价值医疗的战略品牌管理体系建立项目（第一期）采购项目</w:t>
      </w:r>
      <w:r>
        <w:rPr>
          <w:rFonts w:hint="eastAsia" w:ascii="宋体" w:hAnsi="宋体"/>
          <w:bCs/>
          <w:kern w:val="28"/>
          <w:szCs w:val="21"/>
        </w:rPr>
        <w:t>进行</w:t>
      </w:r>
      <w:r>
        <w:rPr>
          <w:rFonts w:hint="eastAsia" w:ascii="宋体" w:hAnsi="宋体"/>
          <w:bCs/>
          <w:szCs w:val="21"/>
        </w:rPr>
        <w:t>采购，</w:t>
      </w:r>
      <w:r>
        <w:rPr>
          <w:rFonts w:hint="eastAsia" w:hAnsi="宋体"/>
          <w:bCs/>
          <w:kern w:val="28"/>
          <w:szCs w:val="21"/>
          <w:highlight w:val="none"/>
        </w:rPr>
        <w:t>欢迎符合资格条件的报价人报价。</w:t>
      </w:r>
    </w:p>
    <w:p w14:paraId="649C5BE2">
      <w:pPr>
        <w:spacing w:line="500" w:lineRule="exact"/>
        <w:jc w:val="both"/>
        <w:rPr>
          <w:rFonts w:hint="eastAsia" w:ascii="宋体" w:hAnsi="宋体" w:eastAsia="宋体" w:cs="宋体"/>
          <w:i w:val="0"/>
          <w:iCs w:val="0"/>
          <w:caps w:val="0"/>
          <w:color w:val="000000"/>
          <w:spacing w:val="0"/>
          <w:sz w:val="21"/>
          <w:szCs w:val="21"/>
          <w:highlight w:val="none"/>
          <w:shd w:val="clear" w:color="auto" w:fill="FFFFFF"/>
        </w:rPr>
      </w:pPr>
      <w:r>
        <w:rPr>
          <w:rFonts w:hint="eastAsia" w:hAnsi="宋体"/>
          <w:b w:val="0"/>
          <w:bCs/>
          <w:kern w:val="28"/>
          <w:szCs w:val="21"/>
          <w:highlight w:val="none"/>
          <w:lang w:val="en-US" w:eastAsia="zh-CN"/>
        </w:rPr>
        <w:t>一、</w:t>
      </w:r>
      <w:r>
        <w:rPr>
          <w:rFonts w:hint="eastAsia" w:ascii="宋体" w:hAnsi="宋体"/>
          <w:bCs/>
          <w:szCs w:val="21"/>
          <w:highlight w:val="none"/>
        </w:rPr>
        <w:t>项目名称：</w:t>
      </w:r>
      <w:r>
        <w:rPr>
          <w:rFonts w:hint="eastAsia" w:ascii="宋体" w:hAnsi="宋体"/>
          <w:bCs/>
          <w:kern w:val="28"/>
          <w:szCs w:val="21"/>
          <w:highlight w:val="none"/>
          <w:lang w:eastAsia="zh-CN"/>
        </w:rPr>
        <w:t>中山市古镇人民医院基于价值医疗的战略品牌管理体系建立项目（第一期）采购项目</w:t>
      </w:r>
      <w:r>
        <w:rPr>
          <w:rFonts w:hint="eastAsia" w:ascii="宋体" w:hAnsi="宋体"/>
          <w:bCs/>
          <w:szCs w:val="21"/>
          <w:highlight w:val="none"/>
        </w:rPr>
        <w:t>；</w:t>
      </w:r>
    </w:p>
    <w:p w14:paraId="02D4189A">
      <w:pPr>
        <w:numPr>
          <w:ilvl w:val="0"/>
          <w:numId w:val="0"/>
        </w:numPr>
        <w:tabs>
          <w:tab w:val="left" w:pos="530"/>
        </w:tabs>
        <w:spacing w:line="460" w:lineRule="exac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b w:val="0"/>
          <w:bCs/>
          <w:szCs w:val="21"/>
          <w:highlight w:val="none"/>
          <w:lang w:val="en-US" w:eastAsia="zh-CN"/>
        </w:rPr>
        <w:t>二、</w:t>
      </w:r>
      <w:r>
        <w:rPr>
          <w:rFonts w:hint="eastAsia" w:ascii="宋体" w:hAnsi="宋体"/>
          <w:bCs/>
          <w:szCs w:val="21"/>
          <w:highlight w:val="none"/>
        </w:rPr>
        <w:t>采购上限价：该项目采购上限价为人民币</w:t>
      </w:r>
      <w:r>
        <w:rPr>
          <w:rFonts w:hint="eastAsia" w:ascii="宋体" w:hAnsi="宋体"/>
          <w:bCs/>
          <w:szCs w:val="21"/>
          <w:highlight w:val="none"/>
          <w:lang w:val="en-US" w:eastAsia="zh-CN"/>
        </w:rPr>
        <w:t>192000</w:t>
      </w:r>
      <w:r>
        <w:rPr>
          <w:rFonts w:hint="eastAsia" w:ascii="宋体" w:hAnsi="宋体"/>
          <w:bCs/>
          <w:sz w:val="21"/>
          <w:szCs w:val="21"/>
          <w:highlight w:val="none"/>
        </w:rPr>
        <w:t>元</w:t>
      </w:r>
      <w:r>
        <w:rPr>
          <w:rFonts w:hint="eastAsia" w:ascii="宋体" w:hAnsi="宋体" w:eastAsia="宋体" w:cs="宋体"/>
          <w:i w:val="0"/>
          <w:color w:val="000000"/>
          <w:kern w:val="0"/>
          <w:sz w:val="21"/>
          <w:szCs w:val="21"/>
          <w:highlight w:val="none"/>
          <w:u w:val="none"/>
          <w:lang w:val="en-US" w:eastAsia="zh-CN" w:bidi="ar-SA"/>
        </w:rPr>
        <w:t>（含税）</w:t>
      </w:r>
      <w:r>
        <w:rPr>
          <w:rFonts w:hint="eastAsia" w:ascii="宋体" w:hAnsi="宋体" w:eastAsia="宋体" w:cs="宋体"/>
          <w:i w:val="0"/>
          <w:iCs w:val="0"/>
          <w:caps w:val="0"/>
          <w:color w:val="000000"/>
          <w:spacing w:val="0"/>
          <w:sz w:val="21"/>
          <w:szCs w:val="21"/>
          <w:highlight w:val="none"/>
          <w:shd w:val="clear" w:color="auto" w:fill="FFFFFF"/>
        </w:rPr>
        <w:t>。</w:t>
      </w:r>
    </w:p>
    <w:p w14:paraId="4CCAD195">
      <w:pPr>
        <w:numPr>
          <w:ilvl w:val="0"/>
          <w:numId w:val="1"/>
        </w:numPr>
        <w:tabs>
          <w:tab w:val="left" w:pos="530"/>
        </w:tabs>
        <w:spacing w:line="460" w:lineRule="exact"/>
        <w:rPr>
          <w:rFonts w:hint="eastAsia" w:ascii="宋体" w:hAnsi="宋体"/>
          <w:bCs/>
          <w:szCs w:val="21"/>
        </w:rPr>
      </w:pPr>
      <w:r>
        <w:rPr>
          <w:rFonts w:hint="eastAsia" w:ascii="宋体" w:hAnsi="宋体"/>
          <w:bCs/>
          <w:szCs w:val="21"/>
        </w:rPr>
        <w:t>采购说明：</w:t>
      </w:r>
    </w:p>
    <w:p w14:paraId="43605843">
      <w:pPr>
        <w:numPr>
          <w:ilvl w:val="0"/>
          <w:numId w:val="0"/>
        </w:numPr>
        <w:tabs>
          <w:tab w:val="left" w:pos="530"/>
        </w:tabs>
        <w:spacing w:line="460" w:lineRule="exact"/>
        <w:ind w:firstLine="420" w:firstLineChars="200"/>
        <w:rPr>
          <w:rFonts w:hint="eastAsia" w:ascii="宋体" w:hAnsi="宋体"/>
          <w:bCs/>
          <w:szCs w:val="21"/>
        </w:rPr>
      </w:pPr>
      <w:r>
        <w:rPr>
          <w:rFonts w:hint="eastAsia" w:ascii="宋体" w:hAnsi="宋体"/>
          <w:bCs/>
          <w:szCs w:val="21"/>
        </w:rPr>
        <w:t>（一）该项目报价要求各报价单位报项目总价，报价超出采购上限价的单位作无效询价报价。</w:t>
      </w:r>
    </w:p>
    <w:p w14:paraId="6DA88382">
      <w:pPr>
        <w:tabs>
          <w:tab w:val="left" w:pos="7391"/>
        </w:tabs>
        <w:spacing w:line="336" w:lineRule="auto"/>
        <w:ind w:firstLine="420" w:firstLineChars="200"/>
        <w:rPr>
          <w:rFonts w:hint="eastAsia" w:ascii="宋体" w:hAnsi="宋体" w:eastAsia="宋体"/>
          <w:bCs/>
          <w:szCs w:val="21"/>
          <w:lang w:eastAsia="zh-CN"/>
        </w:rPr>
      </w:pPr>
      <w:r>
        <w:rPr>
          <w:rFonts w:hint="eastAsia" w:ascii="宋体" w:hAnsi="宋体"/>
          <w:bCs/>
          <w:szCs w:val="21"/>
        </w:rPr>
        <w:t>（二）确定</w:t>
      </w:r>
      <w:r>
        <w:rPr>
          <w:rFonts w:hint="eastAsia" w:ascii="宋体" w:hAnsi="宋体"/>
          <w:bCs/>
          <w:szCs w:val="21"/>
          <w:lang w:eastAsia="zh-CN"/>
        </w:rPr>
        <w:t>中选</w:t>
      </w:r>
      <w:r>
        <w:rPr>
          <w:rFonts w:hint="eastAsia" w:ascii="宋体" w:hAnsi="宋体"/>
          <w:bCs/>
          <w:szCs w:val="21"/>
        </w:rPr>
        <w:t>单位方式：报名成功后的单位均进入报价环节，在规定的时间地点递交报价文件，</w:t>
      </w:r>
      <w:r>
        <w:rPr>
          <w:rFonts w:hint="eastAsia" w:ascii="宋体" w:hAnsi="宋体" w:cs="宋体"/>
          <w:szCs w:val="21"/>
          <w:shd w:val="clear" w:color="auto" w:fill="FFFFFF"/>
        </w:rPr>
        <w:t>合格报名供应商达到三家及以上的，</w:t>
      </w:r>
      <w:r>
        <w:rPr>
          <w:rFonts w:hint="eastAsia" w:ascii="宋体" w:hAnsi="宋体" w:eastAsia="宋体" w:cs="宋体"/>
          <w:sz w:val="21"/>
          <w:szCs w:val="21"/>
          <w:shd w:val="clear" w:color="auto" w:fill="FFFFFF"/>
        </w:rPr>
        <w:t>采用评分的方式采购</w:t>
      </w:r>
      <w:r>
        <w:rPr>
          <w:rFonts w:hint="eastAsia" w:ascii="宋体" w:hAnsi="宋体" w:eastAsia="宋体" w:cs="宋体"/>
          <w:bCs/>
          <w:sz w:val="21"/>
          <w:szCs w:val="21"/>
        </w:rPr>
        <w:t>（若报价单位所报评分相同的，将采用摇珠或者抽签方式选定最终中标单位）</w:t>
      </w:r>
      <w:r>
        <w:rPr>
          <w:rFonts w:hint="eastAsia" w:ascii="宋体" w:hAnsi="宋体" w:eastAsia="宋体" w:cs="宋体"/>
          <w:bCs/>
          <w:sz w:val="21"/>
          <w:szCs w:val="21"/>
          <w:lang w:eastAsia="zh-CN"/>
        </w:rPr>
        <w:t>。</w:t>
      </w:r>
    </w:p>
    <w:p w14:paraId="30355D70">
      <w:pPr>
        <w:pageBreakBefore w:val="0"/>
        <w:widowControl w:val="0"/>
        <w:kinsoku/>
        <w:wordWrap/>
        <w:overflowPunct/>
        <w:topLinePunct w:val="0"/>
        <w:bidi w:val="0"/>
        <w:spacing w:beforeLines="0" w:afterLines="0" w:line="360" w:lineRule="auto"/>
        <w:ind w:left="420" w:leftChars="200" w:firstLine="0" w:firstLineChars="0"/>
        <w:textAlignment w:val="auto"/>
        <w:rPr>
          <w:rFonts w:hint="eastAsia" w:ascii="宋体" w:hAnsi="宋体" w:cs="宋体"/>
          <w:color w:val="000000"/>
          <w:sz w:val="21"/>
          <w:szCs w:val="21"/>
          <w:lang w:val="en-US" w:eastAsia="zh-CN"/>
        </w:rPr>
      </w:pPr>
      <w:r>
        <w:rPr>
          <w:rFonts w:hint="eastAsia" w:ascii="宋体" w:hAnsi="宋体"/>
          <w:bCs/>
          <w:szCs w:val="21"/>
        </w:rPr>
        <w:t>（三）</w:t>
      </w:r>
      <w:r>
        <w:rPr>
          <w:rFonts w:hint="eastAsia" w:ascii="宋体" w:hAnsi="宋体" w:cs="宋体"/>
          <w:color w:val="000000"/>
          <w:szCs w:val="22"/>
        </w:rPr>
        <w:t>采购过程中</w:t>
      </w:r>
      <w:r>
        <w:rPr>
          <w:rFonts w:hint="eastAsia" w:ascii="宋体" w:hAnsi="宋体" w:cs="宋体"/>
          <w:color w:val="000000"/>
          <w:szCs w:val="22"/>
          <w:lang w:eastAsia="zh-CN"/>
        </w:rPr>
        <w:t>，</w:t>
      </w:r>
      <w:r>
        <w:rPr>
          <w:rFonts w:hint="eastAsia" w:ascii="宋体" w:hAnsi="宋体" w:cs="宋体"/>
          <w:color w:val="000000"/>
          <w:szCs w:val="22"/>
          <w:lang w:val="en-US" w:eastAsia="zh-CN"/>
        </w:rPr>
        <w:t>报名参与的供应商不足3家或</w:t>
      </w:r>
      <w:r>
        <w:rPr>
          <w:rFonts w:hint="eastAsia" w:ascii="宋体" w:hAnsi="宋体" w:cs="宋体"/>
          <w:color w:val="000000"/>
          <w:szCs w:val="22"/>
        </w:rPr>
        <w:t>递交响应文件的供应商</w:t>
      </w:r>
      <w:r>
        <w:rPr>
          <w:rFonts w:hint="eastAsia" w:ascii="宋体" w:hAnsi="宋体" w:cs="宋体"/>
          <w:color w:val="000000"/>
          <w:szCs w:val="22"/>
          <w:lang w:val="en-US" w:eastAsia="zh-CN"/>
        </w:rPr>
        <w:t>不足3家或通过资格、符合性审查的供应商不足3家</w:t>
      </w:r>
      <w:r>
        <w:rPr>
          <w:rFonts w:hint="eastAsia" w:ascii="宋体" w:hAnsi="宋体" w:cs="宋体"/>
          <w:color w:val="000000"/>
          <w:szCs w:val="22"/>
        </w:rPr>
        <w:t>，采购人</w:t>
      </w:r>
      <w:r>
        <w:rPr>
          <w:rFonts w:hint="eastAsia" w:ascii="宋体" w:hAnsi="宋体" w:cs="宋体"/>
          <w:color w:val="000000"/>
          <w:szCs w:val="22"/>
          <w:lang w:val="en-US" w:eastAsia="zh-CN"/>
        </w:rPr>
        <w:t>可</w:t>
      </w:r>
      <w:r>
        <w:rPr>
          <w:rFonts w:hint="eastAsia" w:ascii="宋体" w:hAnsi="宋体" w:cs="宋体"/>
          <w:color w:val="000000"/>
          <w:szCs w:val="22"/>
        </w:rPr>
        <w:t>采</w:t>
      </w:r>
      <w:r>
        <w:rPr>
          <w:rFonts w:hint="eastAsia" w:ascii="宋体" w:hAnsi="宋体" w:cs="宋体"/>
          <w:color w:val="000000"/>
          <w:szCs w:val="22"/>
          <w:lang w:val="en-US" w:eastAsia="zh-CN"/>
        </w:rPr>
        <w:t>取</w:t>
      </w:r>
      <w:r>
        <w:rPr>
          <w:rFonts w:hint="eastAsia" w:ascii="宋体" w:hAnsi="宋体" w:cs="宋体"/>
          <w:color w:val="000000"/>
          <w:szCs w:val="22"/>
        </w:rPr>
        <w:t>以下任意一种方式进行</w:t>
      </w:r>
      <w:r>
        <w:rPr>
          <w:rFonts w:hint="eastAsia" w:ascii="宋体" w:hAnsi="宋体" w:cs="宋体"/>
          <w:color w:val="000000"/>
          <w:szCs w:val="22"/>
          <w:lang w:val="en-US" w:eastAsia="zh-CN"/>
        </w:rPr>
        <w:t>采购</w:t>
      </w:r>
      <w:r>
        <w:rPr>
          <w:rFonts w:hint="eastAsia" w:ascii="宋体" w:hAnsi="宋体" w:cs="宋体"/>
          <w:color w:val="000000"/>
          <w:sz w:val="21"/>
          <w:szCs w:val="21"/>
          <w:lang w:val="en-US" w:eastAsia="zh-CN"/>
        </w:rPr>
        <w:t>：</w:t>
      </w:r>
    </w:p>
    <w:p w14:paraId="689B5B76">
      <w:pPr>
        <w:adjustRightInd/>
        <w:snapToGrid/>
        <w:spacing w:beforeLines="0" w:afterLines="0" w:line="360" w:lineRule="auto"/>
        <w:ind w:left="1050" w:leftChars="350" w:hanging="315" w:hangingChars="150"/>
        <w:rPr>
          <w:rFonts w:hint="eastAsia" w:ascii="宋体" w:hAnsi="宋体" w:eastAsia="宋体" w:cs="Times New Roman"/>
          <w:bCs/>
          <w:color w:val="000000"/>
          <w:szCs w:val="21"/>
          <w:lang w:eastAsia="zh-CN"/>
        </w:rPr>
      </w:pPr>
      <w:r>
        <w:rPr>
          <w:rFonts w:hint="eastAsia" w:ascii="宋体" w:hAnsi="宋体" w:cs="Times New Roman"/>
          <w:bCs/>
          <w:color w:val="000000"/>
          <w:szCs w:val="21"/>
          <w:lang w:val="en-US" w:eastAsia="zh-CN"/>
        </w:rPr>
        <w:t>1）</w:t>
      </w:r>
      <w:r>
        <w:rPr>
          <w:rFonts w:hint="eastAsia" w:ascii="宋体" w:hAnsi="宋体" w:cs="Times New Roman"/>
          <w:bCs/>
          <w:color w:val="000000"/>
          <w:szCs w:val="21"/>
        </w:rPr>
        <w:t>项目废标，重新组织采购工作</w:t>
      </w:r>
      <w:r>
        <w:rPr>
          <w:rFonts w:hint="eastAsia" w:ascii="宋体" w:hAnsi="宋体" w:cs="Times New Roman"/>
          <w:bCs/>
          <w:color w:val="000000"/>
          <w:szCs w:val="21"/>
          <w:lang w:eastAsia="zh-CN"/>
        </w:rPr>
        <w:t>；</w:t>
      </w:r>
    </w:p>
    <w:p w14:paraId="1C764D96">
      <w:pPr>
        <w:adjustRightInd/>
        <w:snapToGrid/>
        <w:spacing w:beforeLines="0" w:afterLines="0" w:line="360" w:lineRule="auto"/>
        <w:ind w:left="1050" w:leftChars="350" w:hanging="315" w:hangingChars="150"/>
        <w:rPr>
          <w:rFonts w:hint="eastAsia" w:ascii="宋体" w:hAnsi="宋体" w:cs="Times New Roman"/>
          <w:bCs/>
          <w:color w:val="000000"/>
          <w:szCs w:val="21"/>
        </w:rPr>
      </w:pPr>
      <w:r>
        <w:rPr>
          <w:rFonts w:hint="eastAsia" w:ascii="宋体" w:hAnsi="宋体" w:cs="Times New Roman"/>
          <w:bCs/>
          <w:color w:val="000000"/>
          <w:szCs w:val="21"/>
          <w:lang w:val="en-US" w:eastAsia="zh-CN"/>
        </w:rPr>
        <w:t>2）报名参与的供应商只有2家或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只有2家或通过资格、符合性审查的供应商只有2家</w:t>
      </w:r>
      <w:r>
        <w:rPr>
          <w:rFonts w:hint="eastAsia" w:ascii="宋体" w:hAnsi="宋体" w:eastAsia="宋体" w:cs="Times New Roman"/>
          <w:bCs/>
          <w:color w:val="000000"/>
          <w:sz w:val="21"/>
          <w:szCs w:val="21"/>
          <w:u w:val="none"/>
        </w:rPr>
        <w:t>，</w:t>
      </w:r>
      <w:r>
        <w:rPr>
          <w:rFonts w:hint="eastAsia" w:ascii="宋体" w:hAnsi="宋体" w:cs="Times New Roman"/>
          <w:bCs/>
          <w:color w:val="000000"/>
          <w:szCs w:val="21"/>
          <w:lang w:val="en-US" w:eastAsia="zh-CN"/>
        </w:rPr>
        <w:t>询价</w:t>
      </w:r>
      <w:r>
        <w:rPr>
          <w:rFonts w:hint="eastAsia" w:ascii="宋体" w:hAnsi="宋体" w:cs="Times New Roman"/>
          <w:bCs/>
          <w:color w:val="000000"/>
          <w:szCs w:val="21"/>
        </w:rPr>
        <w:t>采购活动可以继续进行，</w:t>
      </w:r>
      <w:r>
        <w:rPr>
          <w:rFonts w:hint="eastAsia" w:ascii="宋体" w:hAnsi="宋体" w:cs="Times New Roman"/>
          <w:bCs/>
          <w:color w:val="000000"/>
          <w:szCs w:val="21"/>
          <w:lang w:val="en-US" w:eastAsia="zh-CN"/>
        </w:rPr>
        <w:t>并按照</w:t>
      </w:r>
      <w:r>
        <w:rPr>
          <w:rFonts w:hint="eastAsia" w:ascii="宋体" w:hAnsi="宋体"/>
          <w:b w:val="0"/>
          <w:bCs/>
          <w:color w:val="000000"/>
          <w:szCs w:val="21"/>
          <w:lang w:val="en-US" w:eastAsia="zh-CN"/>
        </w:rPr>
        <w:t>定选</w:t>
      </w:r>
      <w:r>
        <w:rPr>
          <w:rFonts w:hint="eastAsia" w:ascii="宋体" w:hAnsi="宋体"/>
          <w:b w:val="0"/>
          <w:bCs/>
          <w:color w:val="000000"/>
          <w:szCs w:val="21"/>
        </w:rPr>
        <w:t>原则</w:t>
      </w:r>
      <w:r>
        <w:rPr>
          <w:rFonts w:hint="eastAsia" w:ascii="宋体" w:hAnsi="宋体" w:cs="Times New Roman"/>
          <w:bCs/>
          <w:color w:val="000000"/>
          <w:szCs w:val="21"/>
        </w:rPr>
        <w:t>成交供应商；</w:t>
      </w:r>
    </w:p>
    <w:p w14:paraId="65BCE541">
      <w:pPr>
        <w:adjustRightInd/>
        <w:snapToGrid/>
        <w:spacing w:beforeLines="0" w:afterLines="0" w:line="360" w:lineRule="auto"/>
        <w:ind w:left="1050" w:leftChars="350" w:hanging="315" w:hangingChars="150"/>
        <w:rPr>
          <w:rFonts w:hint="eastAsia" w:ascii="宋体" w:hAnsi="宋体"/>
          <w:bCs/>
          <w:szCs w:val="21"/>
        </w:rPr>
      </w:pPr>
      <w:r>
        <w:rPr>
          <w:rFonts w:hint="eastAsia" w:ascii="宋体" w:hAnsi="宋体" w:cs="Times New Roman"/>
          <w:bCs/>
          <w:color w:val="000000"/>
          <w:szCs w:val="21"/>
          <w:lang w:val="en-US" w:eastAsia="zh-CN"/>
        </w:rPr>
        <w:t>3）报名参与的供应商只有1家或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只有1家或通过资格、符合性审查的供应商只有1家</w:t>
      </w:r>
      <w:r>
        <w:rPr>
          <w:rFonts w:hint="eastAsia" w:ascii="宋体" w:hAnsi="宋体" w:cs="Times New Roman"/>
          <w:bCs/>
          <w:color w:val="000000"/>
          <w:szCs w:val="21"/>
        </w:rPr>
        <w:t>，</w:t>
      </w:r>
      <w:r>
        <w:rPr>
          <w:rFonts w:hint="eastAsia" w:ascii="宋体" w:hAnsi="宋体" w:cs="Times New Roman"/>
          <w:bCs/>
          <w:color w:val="000000"/>
          <w:szCs w:val="21"/>
          <w:lang w:val="en-US" w:eastAsia="zh-CN"/>
        </w:rPr>
        <w:t>按照</w:t>
      </w:r>
      <w:r>
        <w:rPr>
          <w:rFonts w:hint="eastAsia" w:ascii="宋体" w:hAnsi="宋体" w:cs="Times New Roman"/>
          <w:bCs/>
          <w:color w:val="000000"/>
          <w:szCs w:val="21"/>
        </w:rPr>
        <w:t>符合采购要求，价格合理</w:t>
      </w:r>
      <w:r>
        <w:rPr>
          <w:rFonts w:hint="eastAsia" w:ascii="宋体" w:hAnsi="宋体" w:cs="Times New Roman"/>
          <w:bCs/>
          <w:color w:val="000000"/>
          <w:szCs w:val="21"/>
          <w:lang w:val="en-US" w:eastAsia="zh-CN"/>
        </w:rPr>
        <w:t>中选的方式确定成交供应商</w:t>
      </w:r>
      <w:r>
        <w:rPr>
          <w:rFonts w:hint="eastAsia" w:ascii="宋体" w:hAnsi="宋体" w:cs="Times New Roman"/>
          <w:bCs/>
          <w:color w:val="000000"/>
          <w:szCs w:val="21"/>
        </w:rPr>
        <w:t>。</w:t>
      </w:r>
    </w:p>
    <w:p w14:paraId="3D45FDF8">
      <w:pPr>
        <w:tabs>
          <w:tab w:val="left" w:pos="7391"/>
        </w:tabs>
        <w:spacing w:line="336" w:lineRule="auto"/>
        <w:ind w:firstLine="420" w:firstLineChars="200"/>
        <w:rPr>
          <w:rFonts w:hint="eastAsia" w:ascii="宋体" w:hAnsi="宋体"/>
          <w:b/>
          <w:szCs w:val="21"/>
        </w:rPr>
      </w:pPr>
      <w:r>
        <w:rPr>
          <w:rFonts w:hint="eastAsia" w:ascii="宋体" w:hAnsi="宋体"/>
          <w:bCs/>
          <w:szCs w:val="21"/>
        </w:rPr>
        <w:t>（四）最终结算以按实结算为准，结算总价原则不得超出</w:t>
      </w:r>
      <w:r>
        <w:rPr>
          <w:rFonts w:hint="eastAsia" w:ascii="宋体" w:hAnsi="宋体"/>
          <w:bCs/>
          <w:szCs w:val="21"/>
          <w:lang w:eastAsia="zh-CN"/>
        </w:rPr>
        <w:t>中选</w:t>
      </w:r>
      <w:r>
        <w:rPr>
          <w:rFonts w:hint="eastAsia" w:ascii="宋体" w:hAnsi="宋体"/>
          <w:bCs/>
          <w:szCs w:val="21"/>
        </w:rPr>
        <w:t>价，超出部分按照相关规定实施。</w:t>
      </w:r>
    </w:p>
    <w:p w14:paraId="4A48F344">
      <w:pPr>
        <w:numPr>
          <w:ilvl w:val="0"/>
          <w:numId w:val="0"/>
        </w:numPr>
        <w:tabs>
          <w:tab w:val="left" w:pos="530"/>
        </w:tabs>
        <w:spacing w:line="460" w:lineRule="exact"/>
        <w:ind w:leftChars="0"/>
        <w:rPr>
          <w:rFonts w:hint="eastAsia" w:ascii="宋体" w:hAnsi="宋体"/>
          <w:b/>
          <w:szCs w:val="21"/>
        </w:rPr>
      </w:pPr>
      <w:r>
        <w:rPr>
          <w:rFonts w:hint="eastAsia" w:ascii="宋体" w:hAnsi="宋体"/>
          <w:b w:val="0"/>
          <w:bCs/>
          <w:lang w:val="en-US" w:eastAsia="zh-CN"/>
        </w:rPr>
        <w:t>四、</w:t>
      </w:r>
      <w:r>
        <w:rPr>
          <w:rFonts w:hint="eastAsia" w:ascii="宋体" w:hAnsi="宋体"/>
          <w:b w:val="0"/>
          <w:bCs/>
        </w:rPr>
        <w:t>项目内容：</w:t>
      </w:r>
      <w:r>
        <w:rPr>
          <w:rFonts w:hint="eastAsia" w:hAnsi="宋体"/>
          <w:kern w:val="28"/>
        </w:rPr>
        <w:t>该项目共一个项目包，需要</w:t>
      </w:r>
      <w:r>
        <w:rPr>
          <w:rFonts w:hint="eastAsia" w:ascii="宋体" w:hAnsi="宋体"/>
          <w:bCs/>
          <w:kern w:val="28"/>
          <w:szCs w:val="21"/>
        </w:rPr>
        <w:t>对</w:t>
      </w:r>
      <w:r>
        <w:rPr>
          <w:rFonts w:hint="eastAsia" w:ascii="宋体" w:hAnsi="宋体"/>
          <w:bCs/>
          <w:kern w:val="28"/>
          <w:szCs w:val="21"/>
          <w:highlight w:val="none"/>
          <w:lang w:eastAsia="zh-CN"/>
        </w:rPr>
        <w:t>中山市古镇人民医院基于价值医疗的战略品牌管理体系建立项目（第一期）采购项目</w:t>
      </w:r>
      <w:r>
        <w:rPr>
          <w:rFonts w:hint="eastAsia" w:ascii="宋体" w:hAnsi="宋体" w:cs="宋体"/>
          <w:bCs/>
          <w:szCs w:val="21"/>
        </w:rPr>
        <w:t>采购</w:t>
      </w:r>
      <w:r>
        <w:rPr>
          <w:rFonts w:hint="eastAsia" w:hAnsi="宋体"/>
          <w:kern w:val="28"/>
        </w:rPr>
        <w:t>，详见需求部分。</w:t>
      </w:r>
    </w:p>
    <w:p w14:paraId="28E736C1">
      <w:pPr>
        <w:numPr>
          <w:ilvl w:val="0"/>
          <w:numId w:val="0"/>
        </w:numPr>
        <w:tabs>
          <w:tab w:val="left" w:pos="530"/>
        </w:tabs>
        <w:spacing w:line="460" w:lineRule="exact"/>
        <w:ind w:leftChars="0"/>
        <w:rPr>
          <w:rFonts w:hint="eastAsia" w:ascii="宋体" w:hAnsi="宋体" w:eastAsia="宋体" w:cs="宋体"/>
          <w:b w:val="0"/>
          <w:bCs/>
          <w:color w:val="000000"/>
          <w:sz w:val="21"/>
          <w:szCs w:val="21"/>
        </w:rPr>
      </w:pPr>
      <w:bookmarkStart w:id="1" w:name="_Toc320890942"/>
      <w:bookmarkStart w:id="2" w:name="_Toc324837612"/>
      <w:bookmarkStart w:id="3" w:name="_Toc324837482"/>
      <w:bookmarkStart w:id="4" w:name="_Toc321725066"/>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报价人资格要求：</w:t>
      </w:r>
    </w:p>
    <w:p w14:paraId="372D459F">
      <w:pPr>
        <w:numPr>
          <w:ilvl w:val="0"/>
          <w:numId w:val="2"/>
        </w:numPr>
        <w:tabs>
          <w:tab w:val="left" w:pos="530"/>
        </w:tabs>
        <w:spacing w:line="460" w:lineRule="exact"/>
        <w:ind w:leftChars="0" w:firstLine="420" w:firstLineChars="200"/>
        <w:rPr>
          <w:rFonts w:hint="eastAsia" w:ascii="宋体" w:hAnsi="宋体"/>
          <w:bCs/>
          <w:szCs w:val="21"/>
          <w:lang w:val="en-US" w:eastAsia="zh-CN"/>
        </w:rPr>
      </w:pPr>
      <w:r>
        <w:rPr>
          <w:rFonts w:hint="eastAsia" w:ascii="宋体" w:hAnsi="宋体"/>
          <w:bCs/>
          <w:szCs w:val="21"/>
        </w:rPr>
        <w:t>必须是具有独立承担民事责任能力的在中华人民共和国境内注册的法人或其他</w:t>
      </w:r>
      <w:r>
        <w:rPr>
          <w:rFonts w:hint="eastAsia" w:ascii="宋体" w:hAnsi="宋体"/>
          <w:bCs/>
          <w:szCs w:val="21"/>
          <w:lang w:val="en-US" w:eastAsia="zh-CN"/>
        </w:rPr>
        <w:t>组织</w:t>
      </w:r>
      <w:r>
        <w:rPr>
          <w:rFonts w:hint="default" w:ascii="宋体" w:hAnsi="宋体"/>
          <w:bCs/>
          <w:szCs w:val="21"/>
          <w:lang w:val="en-US" w:eastAsia="zh-CN"/>
        </w:rPr>
        <w:t>,</w:t>
      </w:r>
      <w:r>
        <w:rPr>
          <w:rFonts w:hint="eastAsia" w:ascii="宋体" w:hAnsi="宋体"/>
          <w:bCs/>
          <w:szCs w:val="21"/>
          <w:lang w:val="en-US" w:eastAsia="zh-CN"/>
        </w:rPr>
        <w:t>并</w:t>
      </w:r>
      <w:r>
        <w:rPr>
          <w:rFonts w:hint="eastAsia" w:ascii="宋体" w:hAnsi="宋体"/>
          <w:bCs/>
          <w:szCs w:val="21"/>
        </w:rPr>
        <w:t>具有</w:t>
      </w:r>
      <w:r>
        <w:rPr>
          <w:rFonts w:hint="eastAsia" w:ascii="宋体" w:hAnsi="宋体"/>
          <w:bCs/>
          <w:szCs w:val="21"/>
          <w:lang w:val="en-US" w:eastAsia="zh-CN"/>
        </w:rPr>
        <w:t>对</w:t>
      </w:r>
      <w:r>
        <w:rPr>
          <w:rFonts w:hint="default" w:ascii="宋体" w:hAnsi="宋体"/>
          <w:bCs/>
          <w:szCs w:val="21"/>
          <w:lang w:val="en-US" w:eastAsia="zh-CN"/>
        </w:rPr>
        <w:t>医院管理</w:t>
      </w:r>
      <w:r>
        <w:rPr>
          <w:rFonts w:hint="eastAsia" w:ascii="宋体" w:hAnsi="宋体"/>
          <w:bCs/>
          <w:szCs w:val="21"/>
          <w:lang w:val="en-US" w:eastAsia="zh-CN"/>
        </w:rPr>
        <w:t>提供</w:t>
      </w:r>
      <w:r>
        <w:rPr>
          <w:rFonts w:hint="default" w:ascii="宋体" w:hAnsi="宋体"/>
          <w:bCs/>
          <w:szCs w:val="21"/>
          <w:lang w:val="en-US" w:eastAsia="zh-CN"/>
        </w:rPr>
        <w:t>咨询策划服务</w:t>
      </w:r>
      <w:r>
        <w:rPr>
          <w:rFonts w:hint="eastAsia" w:ascii="宋体" w:hAnsi="宋体"/>
          <w:bCs/>
          <w:szCs w:val="21"/>
          <w:lang w:val="en-US" w:eastAsia="zh-CN"/>
        </w:rPr>
        <w:t>、</w:t>
      </w:r>
      <w:r>
        <w:rPr>
          <w:rFonts w:hint="default" w:ascii="宋体" w:hAnsi="宋体"/>
          <w:bCs/>
          <w:szCs w:val="21"/>
          <w:lang w:val="en-US" w:eastAsia="zh-CN"/>
        </w:rPr>
        <w:t>市场营销策划</w:t>
      </w:r>
      <w:r>
        <w:rPr>
          <w:rFonts w:hint="eastAsia" w:ascii="宋体" w:hAnsi="宋体"/>
          <w:bCs/>
          <w:szCs w:val="21"/>
          <w:lang w:val="en-US" w:eastAsia="zh-CN"/>
        </w:rPr>
        <w:t>的能力资质。</w:t>
      </w:r>
    </w:p>
    <w:p w14:paraId="5A5C3AB6">
      <w:pPr>
        <w:numPr>
          <w:ilvl w:val="0"/>
          <w:numId w:val="2"/>
        </w:numPr>
        <w:tabs>
          <w:tab w:val="left" w:pos="530"/>
        </w:tabs>
        <w:spacing w:line="460" w:lineRule="exact"/>
        <w:ind w:leftChars="0" w:firstLine="420" w:firstLineChars="200"/>
        <w:rPr>
          <w:rFonts w:hint="eastAsia"/>
        </w:rPr>
      </w:pPr>
      <w:r>
        <w:rPr>
          <w:rFonts w:hint="eastAsia" w:ascii="宋体" w:hAnsi="宋体"/>
          <w:bCs/>
          <w:szCs w:val="21"/>
          <w:lang w:val="en-US" w:eastAsia="zh-CN"/>
        </w:rPr>
        <w:t xml:space="preserve"> </w:t>
      </w:r>
      <w:r>
        <w:rPr>
          <w:rFonts w:hint="eastAsia" w:ascii="宋体" w:hAnsi="宋体"/>
          <w:bCs/>
          <w:szCs w:val="21"/>
        </w:rPr>
        <w:t>具备《中华人民共和国政府采购法》第二十二条资格条件</w:t>
      </w:r>
      <w:r>
        <w:rPr>
          <w:rFonts w:hint="eastAsia" w:ascii="宋体" w:hAnsi="宋体"/>
          <w:bCs/>
          <w:szCs w:val="21"/>
          <w:lang w:eastAsia="zh-CN"/>
        </w:rPr>
        <w:t>。</w:t>
      </w:r>
    </w:p>
    <w:p w14:paraId="45DB4210">
      <w:pPr>
        <w:numPr>
          <w:ilvl w:val="0"/>
          <w:numId w:val="2"/>
        </w:numPr>
        <w:tabs>
          <w:tab w:val="left" w:pos="530"/>
        </w:tabs>
        <w:spacing w:line="460" w:lineRule="exact"/>
        <w:ind w:leftChars="0" w:firstLine="420" w:firstLineChars="200"/>
        <w:rPr>
          <w:rFonts w:hint="eastAsia" w:ascii="宋体" w:hAnsi="宋体"/>
          <w:bCs/>
          <w:szCs w:val="21"/>
        </w:rPr>
      </w:pPr>
      <w:r>
        <w:rPr>
          <w:rFonts w:hint="eastAsia" w:ascii="宋体" w:hAnsi="宋体"/>
          <w:bCs/>
          <w:szCs w:val="21"/>
        </w:rPr>
        <w:t>不同的</w:t>
      </w:r>
      <w:r>
        <w:rPr>
          <w:rFonts w:hint="eastAsia" w:ascii="宋体" w:hAnsi="宋体"/>
          <w:bCs/>
          <w:szCs w:val="21"/>
          <w:lang w:eastAsia="zh-CN"/>
        </w:rPr>
        <w:t>供应商</w:t>
      </w:r>
      <w:r>
        <w:rPr>
          <w:rFonts w:hint="eastAsia" w:ascii="宋体" w:hAnsi="宋体"/>
          <w:bCs/>
          <w:szCs w:val="21"/>
        </w:rPr>
        <w:t>之间有下列情形之一的，不接受作为参与同一采购项目竞争的</w:t>
      </w:r>
      <w:r>
        <w:rPr>
          <w:rFonts w:hint="eastAsia" w:ascii="宋体" w:hAnsi="宋体"/>
          <w:bCs/>
          <w:szCs w:val="21"/>
          <w:lang w:eastAsia="zh-CN"/>
        </w:rPr>
        <w:t>供应</w:t>
      </w:r>
      <w:r>
        <w:rPr>
          <w:rFonts w:hint="eastAsia" w:ascii="宋体" w:hAnsi="宋体"/>
          <w:bCs/>
          <w:szCs w:val="21"/>
          <w:lang w:val="en-US" w:eastAsia="zh-CN"/>
        </w:rPr>
        <w:t>商。</w:t>
      </w:r>
    </w:p>
    <w:p w14:paraId="379BBED6">
      <w:pPr>
        <w:numPr>
          <w:ilvl w:val="1"/>
          <w:numId w:val="2"/>
        </w:numPr>
        <w:tabs>
          <w:tab w:val="left" w:pos="530"/>
        </w:tabs>
        <w:spacing w:line="460" w:lineRule="exact"/>
        <w:ind w:leftChars="200"/>
        <w:rPr>
          <w:rFonts w:hint="eastAsia" w:ascii="宋体" w:hAnsi="宋体"/>
          <w:bCs/>
          <w:szCs w:val="21"/>
        </w:rPr>
      </w:pPr>
      <w:r>
        <w:rPr>
          <w:rFonts w:hint="eastAsia" w:ascii="宋体" w:hAnsi="宋体"/>
          <w:bCs/>
          <w:szCs w:val="21"/>
        </w:rPr>
        <w:t>法定代表人或单位负责人为同一人或者存在直接控股、管理关系的</w:t>
      </w:r>
      <w:r>
        <w:rPr>
          <w:rFonts w:hint="eastAsia" w:ascii="宋体" w:hAnsi="宋体"/>
          <w:bCs/>
          <w:szCs w:val="21"/>
          <w:lang w:eastAsia="zh-CN"/>
        </w:rPr>
        <w:t>供应商</w:t>
      </w:r>
      <w:r>
        <w:rPr>
          <w:rFonts w:hint="eastAsia" w:ascii="宋体" w:hAnsi="宋体"/>
          <w:bCs/>
          <w:szCs w:val="21"/>
        </w:rPr>
        <w:t>。</w:t>
      </w:r>
    </w:p>
    <w:p w14:paraId="20503CC0">
      <w:pPr>
        <w:numPr>
          <w:ilvl w:val="1"/>
          <w:numId w:val="2"/>
        </w:numPr>
        <w:tabs>
          <w:tab w:val="left" w:pos="530"/>
        </w:tabs>
        <w:spacing w:line="460" w:lineRule="exact"/>
        <w:ind w:leftChars="200"/>
        <w:rPr>
          <w:rFonts w:hint="eastAsia" w:ascii="宋体" w:hAnsi="宋体" w:eastAsia="宋体"/>
          <w:bCs/>
          <w:szCs w:val="21"/>
          <w:lang w:eastAsia="zh-CN"/>
        </w:rPr>
      </w:pPr>
      <w:r>
        <w:rPr>
          <w:rFonts w:hint="eastAsia" w:ascii="宋体" w:hAnsi="宋体"/>
          <w:bCs/>
          <w:szCs w:val="21"/>
        </w:rPr>
        <w:t>为采购项目提供整体设计、规范编制或者项目管理、监理、检测等服务的</w:t>
      </w:r>
      <w:r>
        <w:rPr>
          <w:rFonts w:hint="eastAsia" w:ascii="宋体" w:hAnsi="宋体"/>
          <w:bCs/>
          <w:szCs w:val="21"/>
          <w:lang w:eastAsia="zh-CN"/>
        </w:rPr>
        <w:t>供应商</w:t>
      </w:r>
      <w:r>
        <w:rPr>
          <w:rFonts w:hint="eastAsia" w:ascii="宋体" w:hAnsi="宋体"/>
          <w:bCs/>
          <w:szCs w:val="21"/>
        </w:rPr>
        <w:t>。</w:t>
      </w:r>
    </w:p>
    <w:p w14:paraId="03A2EC33">
      <w:pPr>
        <w:numPr>
          <w:ilvl w:val="0"/>
          <w:numId w:val="0"/>
        </w:numPr>
        <w:tabs>
          <w:tab w:val="left" w:pos="530"/>
        </w:tabs>
        <w:spacing w:line="460" w:lineRule="exact"/>
        <w:ind w:firstLine="422" w:firstLineChars="200"/>
        <w:rPr>
          <w:rFonts w:hint="eastAsia" w:ascii="宋体" w:hAnsi="宋体"/>
          <w:b/>
          <w:bCs w:val="0"/>
          <w:szCs w:val="21"/>
        </w:rPr>
      </w:pPr>
      <w:r>
        <w:rPr>
          <w:rFonts w:hint="eastAsia" w:ascii="宋体" w:hAnsi="宋体" w:eastAsia="宋体"/>
          <w:b/>
          <w:bCs w:val="0"/>
          <w:szCs w:val="21"/>
          <w:lang w:val="en-US" w:eastAsia="zh-CN"/>
        </w:rPr>
        <w:t xml:space="preserve">3.3 </w:t>
      </w:r>
      <w:r>
        <w:rPr>
          <w:rFonts w:hint="eastAsia" w:ascii="宋体" w:hAnsi="宋体" w:eastAsia="宋体"/>
          <w:b/>
          <w:bCs w:val="0"/>
          <w:szCs w:val="21"/>
          <w:lang w:eastAsia="zh-CN"/>
        </w:rPr>
        <w:t>★投标人2023年以来参加本医院项目有自动放弃中标资格或被认定为提供虚假材料应标的不能参加本次项目。</w:t>
      </w:r>
    </w:p>
    <w:p w14:paraId="12E77D51">
      <w:pPr>
        <w:numPr>
          <w:ilvl w:val="0"/>
          <w:numId w:val="2"/>
        </w:numPr>
        <w:tabs>
          <w:tab w:val="left" w:pos="530"/>
        </w:tabs>
        <w:spacing w:line="460" w:lineRule="exact"/>
        <w:ind w:left="0" w:leftChars="0" w:firstLine="420" w:firstLineChars="200"/>
        <w:rPr>
          <w:rFonts w:hint="eastAsia"/>
          <w:sz w:val="21"/>
          <w:szCs w:val="21"/>
        </w:rPr>
      </w:pPr>
      <w:r>
        <w:rPr>
          <w:rFonts w:hint="eastAsia" w:ascii="宋体" w:hAnsi="宋体"/>
          <w:bCs/>
          <w:szCs w:val="21"/>
        </w:rPr>
        <w:t>按照《财政部关于在政府采购活动中查询及使用信用记录有关问题的通知》（财库（2016）125号）的要求，</w:t>
      </w:r>
      <w:r>
        <w:rPr>
          <w:rFonts w:hint="eastAsia" w:ascii="宋体" w:hAnsi="宋体"/>
          <w:bCs/>
          <w:szCs w:val="21"/>
          <w:lang w:eastAsia="zh-CN"/>
        </w:rPr>
        <w:t>供应商</w:t>
      </w:r>
      <w:r>
        <w:rPr>
          <w:rFonts w:hint="eastAsia" w:ascii="宋体" w:hAnsi="宋体"/>
          <w:bCs/>
          <w:szCs w:val="21"/>
        </w:rPr>
        <w:t>（本项目</w:t>
      </w:r>
      <w:r>
        <w:rPr>
          <w:rFonts w:hint="eastAsia" w:ascii="宋体" w:hAnsi="宋体"/>
          <w:bCs/>
          <w:szCs w:val="21"/>
          <w:lang w:eastAsia="zh-CN"/>
        </w:rPr>
        <w:t>询价</w:t>
      </w:r>
      <w:r>
        <w:rPr>
          <w:rFonts w:hint="eastAsia" w:ascii="宋体" w:hAnsi="宋体"/>
          <w:bCs/>
          <w:szCs w:val="21"/>
        </w:rPr>
        <w:t>截止期前）被“信用中国”网站、“中国政府采购网”网站列入失信被执行人、重大税收违法案件当事人名单、政府采购严重违法失信行为记录名单的，不得参与本项目的政府采购活动。</w:t>
      </w:r>
      <w:r>
        <w:rPr>
          <w:rFonts w:hint="eastAsia" w:ascii="宋体" w:hAnsi="宋体"/>
          <w:b/>
          <w:bCs/>
          <w:color w:val="000000"/>
          <w:szCs w:val="21"/>
          <w:highlight w:val="none"/>
        </w:rPr>
        <w:t>供应商</w:t>
      </w:r>
      <w:r>
        <w:rPr>
          <w:rFonts w:hint="eastAsia" w:ascii="宋体" w:hAnsi="宋体"/>
          <w:b/>
          <w:bCs/>
          <w:color w:val="000000"/>
          <w:szCs w:val="21"/>
          <w:highlight w:val="none"/>
          <w:lang w:val="en-US" w:eastAsia="zh-CN"/>
        </w:rPr>
        <w:t>提供</w:t>
      </w:r>
      <w:r>
        <w:rPr>
          <w:rFonts w:hint="eastAsia" w:ascii="宋体" w:hAnsi="宋体"/>
          <w:color w:val="000000"/>
          <w:szCs w:val="21"/>
          <w:highlight w:val="none"/>
        </w:rPr>
        <w:t>未被列入“信用中国”网站(www.creditchina.gov.cn)“记录失信被执行人或重大税收违法案件当事人名单或政府采购严重违法失信行为”记录名单</w:t>
      </w:r>
      <w:r>
        <w:rPr>
          <w:rFonts w:hint="eastAsia" w:ascii="宋体" w:hAnsi="宋体"/>
          <w:color w:val="000000"/>
          <w:szCs w:val="21"/>
          <w:highlight w:val="none"/>
          <w:lang w:val="en-US" w:eastAsia="zh-CN"/>
        </w:rPr>
        <w:t>证明</w:t>
      </w:r>
      <w:r>
        <w:rPr>
          <w:rFonts w:hint="eastAsia" w:ascii="宋体" w:hAnsi="宋体"/>
          <w:color w:val="000000"/>
          <w:szCs w:val="21"/>
          <w:highlight w:val="none"/>
        </w:rPr>
        <w:t>。同时，不处于中国政府采购网(www.ccgp.gov.cn)“政府采购严重违法失信行为信息记录”中的禁止参加政府采购活动期间。</w:t>
      </w:r>
      <w:r>
        <w:rPr>
          <w:rFonts w:hint="eastAsia" w:ascii="宋体" w:hAnsi="宋体"/>
          <w:b/>
          <w:color w:val="000000"/>
          <w:szCs w:val="21"/>
          <w:highlight w:val="none"/>
          <w:u w:val="single"/>
        </w:rPr>
        <w:t>（说明：①于递交响应文件截止时间前</w:t>
      </w:r>
      <w:r>
        <w:rPr>
          <w:rFonts w:hint="eastAsia" w:ascii="宋体" w:hAnsi="宋体"/>
          <w:b/>
          <w:color w:val="000000"/>
          <w:szCs w:val="21"/>
          <w:highlight w:val="none"/>
          <w:u w:val="single"/>
          <w:lang w:val="en-US" w:eastAsia="zh-CN"/>
        </w:rPr>
        <w:t>五</w:t>
      </w:r>
      <w:r>
        <w:rPr>
          <w:rFonts w:hint="eastAsia" w:ascii="宋体" w:hAnsi="宋体"/>
          <w:b/>
          <w:color w:val="000000"/>
          <w:szCs w:val="21"/>
          <w:highlight w:val="none"/>
          <w:u w:val="single"/>
        </w:rPr>
        <w:t>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highlight w:val="none"/>
        </w:rPr>
        <w:t>；</w:t>
      </w:r>
    </w:p>
    <w:p w14:paraId="1126FEA8">
      <w:pPr>
        <w:numPr>
          <w:ilvl w:val="0"/>
          <w:numId w:val="2"/>
        </w:numPr>
        <w:tabs>
          <w:tab w:val="left" w:pos="530"/>
        </w:tabs>
        <w:spacing w:line="460" w:lineRule="exact"/>
        <w:ind w:left="0" w:leftChars="0" w:firstLine="422" w:firstLineChars="200"/>
        <w:rPr>
          <w:rFonts w:hint="eastAsia" w:ascii="宋体" w:hAnsi="宋体"/>
          <w:bCs/>
          <w:szCs w:val="21"/>
        </w:rPr>
      </w:pPr>
      <w:r>
        <w:rPr>
          <w:rFonts w:hint="eastAsia" w:ascii="宋体" w:hAnsi="宋体"/>
          <w:b/>
          <w:bCs/>
          <w:color w:val="000000"/>
          <w:sz w:val="21"/>
          <w:szCs w:val="21"/>
          <w:highlight w:val="none"/>
        </w:rPr>
        <w:t>供应商须无围标、串标行为，投标文件提供《无围标串通等违法违规行为承诺书》（承诺书格式自行编制）和提供《廉洁承诺书》(承诺书格式自行编制)</w:t>
      </w:r>
      <w:r>
        <w:rPr>
          <w:rFonts w:hint="eastAsia" w:ascii="宋体" w:hAnsi="宋体"/>
          <w:color w:val="000000"/>
          <w:sz w:val="21"/>
          <w:szCs w:val="21"/>
          <w:highlight w:val="none"/>
        </w:rPr>
        <w:t>；</w:t>
      </w:r>
    </w:p>
    <w:p w14:paraId="222A663A">
      <w:pPr>
        <w:numPr>
          <w:ilvl w:val="0"/>
          <w:numId w:val="2"/>
        </w:numPr>
        <w:tabs>
          <w:tab w:val="left" w:pos="530"/>
        </w:tabs>
        <w:spacing w:line="460" w:lineRule="exact"/>
        <w:ind w:left="0" w:leftChars="0" w:firstLine="420" w:firstLineChars="200"/>
        <w:rPr>
          <w:rFonts w:hint="eastAsia" w:ascii="宋体" w:hAnsi="宋体"/>
          <w:bCs/>
          <w:szCs w:val="21"/>
        </w:rPr>
      </w:pPr>
      <w:r>
        <w:rPr>
          <w:rFonts w:hint="eastAsia" w:ascii="宋体" w:hAnsi="宋体"/>
          <w:color w:val="000000"/>
          <w:szCs w:val="21"/>
          <w:highlight w:val="none"/>
        </w:rPr>
        <w:t>本项目不接受联合体报价</w:t>
      </w:r>
      <w:r>
        <w:rPr>
          <w:rFonts w:hint="eastAsia" w:ascii="宋体" w:hAnsi="宋体"/>
          <w:color w:val="000000"/>
          <w:szCs w:val="21"/>
          <w:highlight w:val="none"/>
          <w:lang w:eastAsia="zh-CN"/>
        </w:rPr>
        <w:t>，</w:t>
      </w:r>
      <w:r>
        <w:rPr>
          <w:rFonts w:hint="eastAsia" w:ascii="宋体" w:hAnsi="宋体"/>
          <w:bCs/>
          <w:szCs w:val="21"/>
          <w:highlight w:val="none"/>
        </w:rPr>
        <w:t>不允许分包，一旦发现或被举报有分包行为</w:t>
      </w:r>
      <w:r>
        <w:rPr>
          <w:rFonts w:hint="eastAsia" w:ascii="宋体" w:hAnsi="宋体"/>
          <w:bCs/>
          <w:szCs w:val="21"/>
        </w:rPr>
        <w:t>，将取消中标资格，并列入黑名单，永久性不接纳为供应商。</w:t>
      </w:r>
    </w:p>
    <w:p w14:paraId="6DE68D23">
      <w:pPr>
        <w:numPr>
          <w:ilvl w:val="0"/>
          <w:numId w:val="0"/>
        </w:numPr>
        <w:tabs>
          <w:tab w:val="left" w:pos="530"/>
        </w:tabs>
        <w:spacing w:line="460" w:lineRule="exact"/>
        <w:ind w:leftChars="0"/>
        <w:rPr>
          <w:rFonts w:hint="eastAsia" w:ascii="宋体" w:hAnsi="宋体"/>
          <w:szCs w:val="21"/>
        </w:rPr>
      </w:pPr>
      <w:r>
        <w:rPr>
          <w:rFonts w:hint="eastAsia" w:ascii="宋体"/>
          <w:b w:val="0"/>
          <w:bCs w:val="0"/>
          <w:lang w:val="en-US" w:eastAsia="zh-CN"/>
        </w:rPr>
        <w:t>六、</w:t>
      </w:r>
      <w:r>
        <w:rPr>
          <w:rFonts w:hint="eastAsia" w:ascii="宋体"/>
          <w:b w:val="0"/>
          <w:bCs w:val="0"/>
        </w:rPr>
        <w:t>报名时间和方式。</w:t>
      </w:r>
      <w:r>
        <w:rPr>
          <w:rFonts w:hint="eastAsia" w:ascii="宋体"/>
        </w:rPr>
        <w:t>（本次询价均使用北京时间，24小时制）</w:t>
      </w:r>
    </w:p>
    <w:p w14:paraId="451F560A">
      <w:pPr>
        <w:spacing w:line="480" w:lineRule="exact"/>
        <w:jc w:val="both"/>
        <w:rPr>
          <w:rFonts w:hint="eastAsia" w:ascii="宋体"/>
          <w:color w:val="FF0000"/>
        </w:rPr>
      </w:pPr>
      <w:r>
        <w:rPr>
          <w:rFonts w:hint="eastAsia" w:ascii="宋体"/>
          <w:b/>
          <w:bCs/>
        </w:rPr>
        <w:t>报名时间</w:t>
      </w:r>
      <w:r>
        <w:rPr>
          <w:rFonts w:hint="eastAsia" w:ascii="宋体"/>
        </w:rPr>
        <w:t>：</w:t>
      </w:r>
      <w:r>
        <w:rPr>
          <w:rFonts w:hint="eastAsia" w:ascii="宋体"/>
          <w:color w:val="FF0000"/>
        </w:rPr>
        <w:t xml:space="preserve"> </w:t>
      </w:r>
      <w:r>
        <w:rPr>
          <w:rFonts w:hint="eastAsia" w:ascii="宋体"/>
        </w:rPr>
        <w:t>202</w:t>
      </w:r>
      <w:r>
        <w:rPr>
          <w:rFonts w:hint="eastAsia" w:ascii="宋体"/>
          <w:lang w:val="en-US" w:eastAsia="zh-CN"/>
        </w:rPr>
        <w:t>4</w:t>
      </w:r>
      <w:r>
        <w:rPr>
          <w:rFonts w:hint="eastAsia" w:ascii="宋体"/>
        </w:rPr>
        <w:t>年</w:t>
      </w:r>
      <w:r>
        <w:rPr>
          <w:rFonts w:hint="eastAsia" w:ascii="宋体"/>
          <w:lang w:val="en-US" w:eastAsia="zh-CN"/>
        </w:rPr>
        <w:t>09</w:t>
      </w:r>
      <w:r>
        <w:rPr>
          <w:rFonts w:hint="eastAsia" w:ascii="宋体"/>
        </w:rPr>
        <w:t>月</w:t>
      </w:r>
      <w:r>
        <w:rPr>
          <w:rFonts w:hint="eastAsia" w:ascii="宋体"/>
          <w:lang w:val="en-US" w:eastAsia="zh-CN"/>
        </w:rPr>
        <w:t>23</w:t>
      </w:r>
      <w:r>
        <w:rPr>
          <w:rFonts w:hint="eastAsia" w:ascii="宋体"/>
        </w:rPr>
        <w:t>日至202</w:t>
      </w:r>
      <w:r>
        <w:rPr>
          <w:rFonts w:hint="eastAsia" w:ascii="宋体"/>
          <w:lang w:val="en-US" w:eastAsia="zh-CN"/>
        </w:rPr>
        <w:t>4</w:t>
      </w:r>
      <w:r>
        <w:rPr>
          <w:rFonts w:hint="eastAsia" w:ascii="宋体"/>
        </w:rPr>
        <w:t>年</w:t>
      </w:r>
      <w:r>
        <w:rPr>
          <w:rFonts w:hint="eastAsia" w:ascii="宋体"/>
          <w:lang w:val="en-US" w:eastAsia="zh-CN"/>
        </w:rPr>
        <w:t>09</w:t>
      </w:r>
      <w:r>
        <w:rPr>
          <w:rFonts w:hint="eastAsia" w:ascii="宋体"/>
        </w:rPr>
        <w:t>月</w:t>
      </w:r>
      <w:r>
        <w:rPr>
          <w:rFonts w:hint="eastAsia" w:ascii="宋体"/>
          <w:lang w:val="en-US" w:eastAsia="zh-CN"/>
        </w:rPr>
        <w:t>30</w:t>
      </w:r>
      <w:r>
        <w:rPr>
          <w:rFonts w:hint="eastAsia" w:ascii="宋体"/>
        </w:rPr>
        <w:t>日(上午8:30-12:00，下午</w:t>
      </w:r>
      <w:r>
        <w:rPr>
          <w:rFonts w:hint="eastAsia" w:ascii="宋体"/>
          <w:lang w:val="en-US" w:eastAsia="zh-CN"/>
        </w:rPr>
        <w:t>14</w:t>
      </w:r>
      <w:r>
        <w:rPr>
          <w:rFonts w:hint="eastAsia" w:ascii="宋体"/>
        </w:rPr>
        <w:t>:30-</w:t>
      </w:r>
      <w:r>
        <w:rPr>
          <w:rFonts w:hint="eastAsia" w:ascii="宋体"/>
          <w:lang w:val="en-US" w:eastAsia="zh-CN"/>
        </w:rPr>
        <w:t>17</w:t>
      </w:r>
      <w:r>
        <w:rPr>
          <w:rFonts w:hint="eastAsia" w:ascii="宋体"/>
        </w:rPr>
        <w:t>:30分，节假日除外）</w:t>
      </w:r>
    </w:p>
    <w:p w14:paraId="2BC4E599">
      <w:pPr>
        <w:spacing w:line="480" w:lineRule="exact"/>
        <w:jc w:val="both"/>
        <w:rPr>
          <w:rFonts w:hint="eastAsia" w:ascii="宋体"/>
        </w:rPr>
      </w:pPr>
      <w:r>
        <w:rPr>
          <w:rFonts w:hint="eastAsia" w:ascii="宋体"/>
          <w:b/>
          <w:bCs/>
        </w:rPr>
        <w:t>报名地点：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27EFEE48">
      <w:pPr>
        <w:spacing w:line="480" w:lineRule="exact"/>
        <w:jc w:val="both"/>
        <w:rPr>
          <w:rFonts w:hint="eastAsia" w:ascii="宋体"/>
          <w:b/>
          <w:bCs/>
        </w:rPr>
      </w:pPr>
      <w:r>
        <w:rPr>
          <w:rFonts w:hint="eastAsia" w:ascii="宋体"/>
          <w:b/>
          <w:bCs/>
        </w:rPr>
        <w:t>报名方式：报价单位提交以下资料现场报名</w:t>
      </w:r>
      <w:r>
        <w:rPr>
          <w:rFonts w:hint="eastAsia" w:ascii="宋体"/>
          <w:b/>
          <w:bCs/>
          <w:lang w:eastAsia="zh-CN"/>
        </w:rPr>
        <w:t>（</w:t>
      </w:r>
      <w:r>
        <w:rPr>
          <w:rFonts w:hint="eastAsia" w:ascii="ˎ̥" w:hAnsi="ˎ̥"/>
          <w:b/>
          <w:bCs/>
          <w:szCs w:val="21"/>
        </w:rPr>
        <w:t>报价文件</w:t>
      </w:r>
      <w:r>
        <w:rPr>
          <w:rFonts w:hint="eastAsia" w:ascii="ˎ̥" w:hAnsi="ˎ̥"/>
          <w:b/>
          <w:bCs/>
          <w:szCs w:val="21"/>
          <w:lang w:val="en-US" w:eastAsia="zh-CN"/>
        </w:rPr>
        <w:t>与报名可同一时间）</w:t>
      </w:r>
      <w:r>
        <w:rPr>
          <w:rFonts w:hint="eastAsia" w:ascii="宋体"/>
          <w:b/>
          <w:bCs/>
          <w:lang w:eastAsia="zh-CN"/>
        </w:rPr>
        <w:t>，</w:t>
      </w:r>
      <w:r>
        <w:rPr>
          <w:rFonts w:hint="eastAsia" w:ascii="宋体"/>
          <w:b/>
          <w:bCs/>
          <w:lang w:val="en-US" w:eastAsia="zh-CN"/>
        </w:rPr>
        <w:t>不接受电话、快递、邮寄等方式报名及提交资料</w:t>
      </w:r>
      <w:r>
        <w:rPr>
          <w:rFonts w:hint="eastAsia" w:ascii="宋体"/>
          <w:b/>
          <w:bCs/>
        </w:rPr>
        <w:t>。</w:t>
      </w:r>
    </w:p>
    <w:p w14:paraId="606BC88A">
      <w:pPr>
        <w:spacing w:line="480" w:lineRule="exact"/>
        <w:jc w:val="both"/>
        <w:rPr>
          <w:rFonts w:hint="eastAsia" w:ascii="宋体"/>
          <w:color w:val="auto"/>
        </w:rPr>
      </w:pPr>
      <w:r>
        <w:rPr>
          <w:rFonts w:hint="eastAsia" w:ascii="宋体" w:hAnsi="宋体" w:eastAsia="宋体" w:cs="宋体"/>
          <w:b/>
          <w:bCs/>
          <w:color w:val="auto"/>
          <w:szCs w:val="21"/>
        </w:rPr>
        <w:t>①有效营业执照复印件、②</w:t>
      </w:r>
      <w:r>
        <w:rPr>
          <w:rFonts w:hint="eastAsia" w:ascii="宋体" w:hAnsi="宋体" w:eastAsia="宋体" w:cs="宋体"/>
          <w:b/>
          <w:bCs/>
          <w:color w:val="auto"/>
          <w:sz w:val="21"/>
          <w:szCs w:val="21"/>
        </w:rPr>
        <w:t>法定代表人证明书</w:t>
      </w:r>
      <w:r>
        <w:rPr>
          <w:rFonts w:hint="eastAsia" w:ascii="宋体" w:hAnsi="宋体" w:eastAsia="宋体" w:cs="宋体"/>
          <w:b/>
          <w:bCs/>
          <w:color w:val="auto"/>
          <w:sz w:val="21"/>
          <w:szCs w:val="21"/>
          <w:lang w:eastAsia="zh-CN"/>
        </w:rPr>
        <w:t>原件、</w:t>
      </w:r>
      <w:r>
        <w:rPr>
          <w:rFonts w:hint="eastAsia" w:ascii="宋体" w:hAnsi="宋体" w:eastAsia="宋体" w:cs="宋体"/>
          <w:b/>
          <w:bCs/>
          <w:color w:val="auto"/>
          <w:sz w:val="28"/>
          <w:szCs w:val="28"/>
          <w:lang w:eastAsia="zh-CN"/>
        </w:rPr>
        <w:sym w:font="Wingdings" w:char="F083"/>
      </w:r>
      <w:r>
        <w:rPr>
          <w:rFonts w:hint="eastAsia" w:ascii="宋体" w:hAnsi="宋体" w:eastAsia="宋体" w:cs="宋体"/>
          <w:b/>
          <w:bCs/>
          <w:color w:val="auto"/>
          <w:szCs w:val="21"/>
        </w:rPr>
        <w:t>经办人身份证复印件及法定代表人授权委托书原件。</w:t>
      </w:r>
      <w:r>
        <w:rPr>
          <w:rFonts w:hint="eastAsia" w:ascii="宋体" w:hAnsi="宋体" w:eastAsia="宋体" w:cs="宋体"/>
          <w:color w:val="auto"/>
          <w:kern w:val="28"/>
          <w:szCs w:val="21"/>
        </w:rPr>
        <w:t>以上证件现场报名期间均需提供原件核查，复印件</w:t>
      </w:r>
      <w:r>
        <w:rPr>
          <w:rFonts w:hint="eastAsia" w:ascii="宋体" w:hAnsi="宋体"/>
          <w:color w:val="auto"/>
          <w:kern w:val="28"/>
          <w:szCs w:val="21"/>
        </w:rPr>
        <w:t>加盖公章作为报名备案资料。</w:t>
      </w:r>
    </w:p>
    <w:p w14:paraId="1C4B7A21">
      <w:pPr>
        <w:numPr>
          <w:ilvl w:val="0"/>
          <w:numId w:val="0"/>
        </w:numPr>
        <w:spacing w:line="480" w:lineRule="exact"/>
        <w:ind w:leftChars="0"/>
        <w:jc w:val="both"/>
        <w:rPr>
          <w:rFonts w:ascii="宋体"/>
        </w:rPr>
      </w:pPr>
      <w:r>
        <w:rPr>
          <w:rFonts w:hint="eastAsia" w:ascii="宋体"/>
          <w:b w:val="0"/>
          <w:bCs w:val="0"/>
          <w:lang w:val="en-US" w:eastAsia="zh-CN"/>
        </w:rPr>
        <w:t>七、</w:t>
      </w:r>
      <w:r>
        <w:rPr>
          <w:rFonts w:hint="eastAsia" w:ascii="宋体"/>
        </w:rPr>
        <w:t>本询价文件规定的时间（本次询价均使用北京时间，24小时制）</w:t>
      </w:r>
      <w:r>
        <w:rPr>
          <w:rFonts w:hint="eastAsia" w:ascii="宋体"/>
          <w:lang w:eastAsia="zh-CN"/>
        </w:rPr>
        <w:t>。</w:t>
      </w:r>
    </w:p>
    <w:p w14:paraId="69A1D5D6">
      <w:pPr>
        <w:numPr>
          <w:ilvl w:val="0"/>
          <w:numId w:val="0"/>
        </w:numPr>
        <w:spacing w:line="440" w:lineRule="exact"/>
        <w:ind w:leftChars="0"/>
        <w:rPr>
          <w:rFonts w:hint="eastAsia" w:ascii="宋体" w:hAnsi="宋体"/>
          <w:color w:val="auto"/>
        </w:rPr>
      </w:pPr>
      <w:r>
        <w:rPr>
          <w:rFonts w:hint="eastAsia" w:ascii="宋体" w:hAnsi="宋体"/>
          <w:b w:val="0"/>
          <w:bCs w:val="0"/>
          <w:color w:val="auto"/>
          <w:lang w:val="en-US" w:eastAsia="zh-CN"/>
        </w:rPr>
        <w:t>八</w:t>
      </w:r>
      <w:r>
        <w:rPr>
          <w:rFonts w:hint="eastAsia" w:ascii="ˎ̥" w:hAnsi="ˎ̥"/>
          <w:b w:val="0"/>
          <w:bCs w:val="0"/>
          <w:szCs w:val="21"/>
          <w:lang w:val="en-US" w:eastAsia="zh-CN"/>
        </w:rPr>
        <w:t>、</w:t>
      </w:r>
      <w:r>
        <w:rPr>
          <w:rFonts w:hint="eastAsia" w:ascii="ˎ̥" w:hAnsi="ˎ̥"/>
          <w:b/>
          <w:bCs/>
          <w:szCs w:val="21"/>
        </w:rPr>
        <w:t>递交报价文件截止时间</w:t>
      </w:r>
      <w:r>
        <w:rPr>
          <w:rFonts w:hint="eastAsia" w:ascii="ˎ̥" w:hAnsi="ˎ̥"/>
          <w:color w:val="auto"/>
          <w:szCs w:val="21"/>
        </w:rPr>
        <w:t>：</w:t>
      </w:r>
      <w:r>
        <w:rPr>
          <w:rFonts w:hint="eastAsia" w:ascii="ˎ̥" w:hAnsi="ˎ̥"/>
          <w:b/>
          <w:bCs/>
          <w:color w:val="auto"/>
          <w:szCs w:val="21"/>
        </w:rPr>
        <w:t xml:space="preserve"> </w:t>
      </w:r>
      <w:r>
        <w:rPr>
          <w:rFonts w:hint="eastAsia" w:ascii="宋体"/>
          <w:b/>
          <w:bCs/>
        </w:rPr>
        <w:t>202</w:t>
      </w:r>
      <w:r>
        <w:rPr>
          <w:rFonts w:hint="eastAsia" w:ascii="宋体"/>
          <w:b/>
          <w:bCs/>
          <w:lang w:val="en-US" w:eastAsia="zh-CN"/>
        </w:rPr>
        <w:t>4</w:t>
      </w:r>
      <w:r>
        <w:rPr>
          <w:rFonts w:hint="eastAsia" w:ascii="宋体"/>
          <w:b/>
          <w:bCs/>
        </w:rPr>
        <w:t>年</w:t>
      </w:r>
      <w:r>
        <w:rPr>
          <w:rFonts w:hint="eastAsia" w:ascii="宋体"/>
          <w:b/>
          <w:bCs/>
          <w:lang w:val="en-US" w:eastAsia="zh-CN"/>
        </w:rPr>
        <w:t>09</w:t>
      </w:r>
      <w:r>
        <w:rPr>
          <w:rFonts w:hint="eastAsia" w:ascii="宋体"/>
          <w:b/>
          <w:bCs/>
        </w:rPr>
        <w:t>月</w:t>
      </w:r>
      <w:r>
        <w:rPr>
          <w:rFonts w:hint="eastAsia" w:ascii="宋体"/>
          <w:b/>
          <w:bCs/>
          <w:lang w:val="en-US" w:eastAsia="zh-CN"/>
        </w:rPr>
        <w:t>30</w:t>
      </w:r>
      <w:r>
        <w:rPr>
          <w:rFonts w:hint="eastAsia" w:ascii="宋体"/>
          <w:b/>
          <w:bCs/>
        </w:rPr>
        <w:t>日</w:t>
      </w:r>
      <w:r>
        <w:rPr>
          <w:rFonts w:hint="eastAsia" w:ascii="宋体"/>
          <w:b/>
          <w:bCs/>
          <w:lang w:eastAsia="zh-CN"/>
        </w:rPr>
        <w:t>上</w:t>
      </w:r>
      <w:r>
        <w:rPr>
          <w:rFonts w:hint="eastAsia" w:ascii="宋体"/>
          <w:b/>
          <w:bCs/>
          <w:szCs w:val="22"/>
        </w:rPr>
        <w:t>午</w:t>
      </w:r>
      <w:r>
        <w:rPr>
          <w:rFonts w:hint="eastAsia" w:ascii="宋体"/>
          <w:b/>
          <w:bCs/>
          <w:szCs w:val="22"/>
          <w:lang w:val="en-US" w:eastAsia="zh-CN"/>
        </w:rPr>
        <w:t>12</w:t>
      </w:r>
      <w:r>
        <w:rPr>
          <w:rFonts w:hint="eastAsia" w:ascii="宋体"/>
          <w:b/>
          <w:bCs/>
          <w:szCs w:val="22"/>
        </w:rPr>
        <w:t>:</w:t>
      </w:r>
      <w:r>
        <w:rPr>
          <w:rFonts w:hint="eastAsia" w:ascii="宋体"/>
          <w:b/>
          <w:bCs/>
          <w:szCs w:val="22"/>
          <w:lang w:val="en-US" w:eastAsia="zh-CN"/>
        </w:rPr>
        <w:t>0</w:t>
      </w:r>
      <w:r>
        <w:rPr>
          <w:rFonts w:hint="eastAsia" w:ascii="宋体"/>
          <w:b/>
          <w:bCs/>
          <w:szCs w:val="22"/>
        </w:rPr>
        <w:t>0时（北京时间）</w:t>
      </w:r>
      <w:r>
        <w:rPr>
          <w:rFonts w:hint="eastAsia"/>
          <w:b/>
          <w:bCs/>
          <w:color w:val="auto"/>
          <w:szCs w:val="22"/>
        </w:rPr>
        <w:t>。</w:t>
      </w:r>
    </w:p>
    <w:p w14:paraId="29D1EF75">
      <w:pPr>
        <w:numPr>
          <w:ilvl w:val="0"/>
          <w:numId w:val="0"/>
        </w:numPr>
        <w:spacing w:line="440" w:lineRule="exact"/>
        <w:ind w:leftChars="0"/>
        <w:rPr>
          <w:rFonts w:hint="eastAsia" w:ascii="宋体" w:hAnsi="宋体"/>
          <w:color w:val="auto"/>
        </w:rPr>
      </w:pPr>
      <w:r>
        <w:rPr>
          <w:rFonts w:hint="eastAsia"/>
          <w:b w:val="0"/>
          <w:bCs w:val="0"/>
          <w:color w:val="auto"/>
          <w:szCs w:val="22"/>
          <w:lang w:val="en-US" w:eastAsia="zh-CN"/>
        </w:rPr>
        <w:t>九</w:t>
      </w:r>
      <w:r>
        <w:rPr>
          <w:rFonts w:hint="eastAsia" w:ascii="宋体" w:hAnsi="宋体"/>
          <w:b w:val="0"/>
          <w:bCs w:val="0"/>
          <w:color w:val="auto"/>
          <w:lang w:val="en-US" w:eastAsia="zh-CN"/>
        </w:rPr>
        <w:t>、</w:t>
      </w:r>
      <w:r>
        <w:rPr>
          <w:rFonts w:hint="eastAsia" w:ascii="宋体" w:hAnsi="宋体"/>
          <w:b w:val="0"/>
          <w:bCs w:val="0"/>
          <w:color w:val="auto"/>
          <w:lang w:eastAsia="zh-CN"/>
        </w:rPr>
        <w:t>询价评选</w:t>
      </w:r>
      <w:r>
        <w:rPr>
          <w:rFonts w:hint="eastAsia" w:ascii="宋体" w:hAnsi="宋体"/>
          <w:b w:val="0"/>
          <w:bCs w:val="0"/>
          <w:color w:val="auto"/>
        </w:rPr>
        <w:t>时间：</w:t>
      </w:r>
      <w:r>
        <w:rPr>
          <w:rFonts w:ascii="宋体" w:hAnsi="宋体"/>
          <w:color w:val="auto"/>
        </w:rPr>
        <w:t>20</w:t>
      </w:r>
      <w:r>
        <w:rPr>
          <w:rFonts w:hint="eastAsia" w:ascii="宋体" w:hAnsi="宋体"/>
          <w:color w:val="auto"/>
        </w:rPr>
        <w:t>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09</w:t>
      </w:r>
      <w:r>
        <w:rPr>
          <w:rFonts w:hint="eastAsia" w:ascii="宋体" w:hAnsi="宋体"/>
          <w:color w:val="auto"/>
        </w:rPr>
        <w:t>月</w:t>
      </w:r>
      <w:r>
        <w:rPr>
          <w:rFonts w:hint="eastAsia" w:ascii="宋体" w:hAnsi="宋体"/>
          <w:color w:val="auto"/>
          <w:lang w:val="en-US" w:eastAsia="zh-CN"/>
        </w:rPr>
        <w:t>30</w:t>
      </w:r>
      <w:r>
        <w:rPr>
          <w:rFonts w:hint="eastAsia" w:ascii="宋体" w:hAnsi="宋体"/>
          <w:color w:val="auto"/>
        </w:rPr>
        <w:t>日</w:t>
      </w:r>
      <w:r>
        <w:rPr>
          <w:rFonts w:hint="eastAsia" w:ascii="宋体" w:hAnsi="宋体"/>
          <w:color w:val="auto"/>
          <w:lang w:eastAsia="zh-CN"/>
        </w:rPr>
        <w:t>下午</w:t>
      </w:r>
      <w:r>
        <w:rPr>
          <w:rFonts w:hint="eastAsia" w:ascii="宋体" w:hAnsi="宋体"/>
          <w:color w:val="auto"/>
        </w:rPr>
        <w:t>1</w:t>
      </w:r>
      <w:r>
        <w:rPr>
          <w:rFonts w:hint="eastAsia" w:ascii="宋体" w:hAnsi="宋体"/>
          <w:color w:val="auto"/>
          <w:lang w:val="en-US" w:eastAsia="zh-CN"/>
        </w:rPr>
        <w:t>5</w:t>
      </w:r>
      <w:r>
        <w:rPr>
          <w:rFonts w:ascii="宋体" w:hAnsi="宋体"/>
          <w:color w:val="auto"/>
        </w:rPr>
        <w:t>:</w:t>
      </w:r>
      <w:r>
        <w:rPr>
          <w:rFonts w:hint="eastAsia" w:ascii="宋体" w:hAnsi="宋体"/>
          <w:color w:val="auto"/>
          <w:lang w:val="en-US" w:eastAsia="zh-CN"/>
        </w:rPr>
        <w:t>3</w:t>
      </w:r>
      <w:r>
        <w:rPr>
          <w:rFonts w:ascii="宋体" w:hAnsi="宋体"/>
          <w:color w:val="auto"/>
        </w:rPr>
        <w:t>0</w:t>
      </w:r>
      <w:r>
        <w:rPr>
          <w:rFonts w:hint="eastAsia" w:ascii="宋体" w:hAnsi="宋体"/>
          <w:color w:val="auto"/>
        </w:rPr>
        <w:t>（北京时间）</w:t>
      </w:r>
      <w:r>
        <w:rPr>
          <w:rFonts w:hint="eastAsia" w:ascii="宋体" w:hAnsi="宋体"/>
          <w:color w:val="auto"/>
          <w:lang w:eastAsia="zh-CN"/>
        </w:rPr>
        <w:t>。</w:t>
      </w:r>
    </w:p>
    <w:p w14:paraId="062F7982">
      <w:pPr>
        <w:numPr>
          <w:ilvl w:val="0"/>
          <w:numId w:val="0"/>
        </w:numPr>
        <w:spacing w:line="440" w:lineRule="exact"/>
        <w:ind w:leftChars="0"/>
        <w:rPr>
          <w:rFonts w:hint="eastAsia" w:ascii="宋体" w:hAnsi="宋体"/>
        </w:rPr>
      </w:pPr>
      <w:r>
        <w:rPr>
          <w:rFonts w:hint="eastAsia" w:ascii="宋体"/>
          <w:b w:val="0"/>
          <w:bCs w:val="0"/>
          <w:lang w:val="en-US" w:eastAsia="zh-CN"/>
        </w:rPr>
        <w:t>十</w:t>
      </w:r>
      <w:r>
        <w:rPr>
          <w:rFonts w:hint="eastAsia"/>
          <w:b w:val="0"/>
          <w:bCs w:val="0"/>
          <w:color w:val="auto"/>
          <w:szCs w:val="22"/>
          <w:lang w:val="en-US" w:eastAsia="zh-CN"/>
        </w:rPr>
        <w:t>、</w:t>
      </w:r>
      <w:r>
        <w:rPr>
          <w:rFonts w:hint="eastAsia"/>
          <w:b w:val="0"/>
          <w:bCs w:val="0"/>
          <w:color w:val="auto"/>
          <w:szCs w:val="22"/>
        </w:rPr>
        <w:t>递交</w:t>
      </w:r>
      <w:r>
        <w:rPr>
          <w:rFonts w:hint="eastAsia"/>
          <w:b w:val="0"/>
          <w:bCs w:val="0"/>
          <w:color w:val="auto"/>
          <w:szCs w:val="22"/>
          <w:lang w:eastAsia="zh-CN"/>
        </w:rPr>
        <w:t>询价</w:t>
      </w:r>
      <w:r>
        <w:rPr>
          <w:rFonts w:hint="eastAsia"/>
          <w:b w:val="0"/>
          <w:bCs w:val="0"/>
          <w:color w:val="auto"/>
          <w:szCs w:val="22"/>
        </w:rPr>
        <w:t>报价文件地点：</w:t>
      </w:r>
      <w:r>
        <w:rPr>
          <w:rFonts w:hint="eastAsia" w:ascii="宋体"/>
          <w:color w:val="auto"/>
        </w:rPr>
        <w:t>中山市中山市古镇人民医院</w:t>
      </w:r>
      <w:r>
        <w:rPr>
          <w:rFonts w:hint="eastAsia" w:ascii="宋体"/>
          <w:color w:val="auto"/>
          <w:lang w:eastAsia="zh-CN"/>
        </w:rPr>
        <w:t>行政区</w:t>
      </w:r>
      <w:r>
        <w:rPr>
          <w:rFonts w:hint="eastAsia" w:ascii="宋体"/>
        </w:rPr>
        <w:t>总务科（</w:t>
      </w:r>
      <w:r>
        <w:rPr>
          <w:rFonts w:hint="eastAsia" w:ascii="宋体"/>
          <w:color w:val="auto"/>
        </w:rPr>
        <w:t>采</w:t>
      </w:r>
      <w:r>
        <w:rPr>
          <w:rFonts w:hint="eastAsia" w:ascii="宋体"/>
        </w:rPr>
        <w:t>购办公室）</w:t>
      </w:r>
      <w:r>
        <w:rPr>
          <w:rFonts w:hint="eastAsia" w:ascii="宋体"/>
          <w:lang w:eastAsia="zh-CN"/>
        </w:rPr>
        <w:t>。</w:t>
      </w:r>
    </w:p>
    <w:p w14:paraId="288CC368">
      <w:pPr>
        <w:numPr>
          <w:ilvl w:val="0"/>
          <w:numId w:val="0"/>
        </w:numPr>
        <w:spacing w:line="480" w:lineRule="exact"/>
        <w:ind w:leftChars="0"/>
        <w:jc w:val="both"/>
        <w:rPr>
          <w:rFonts w:hint="eastAsia" w:ascii="宋体"/>
        </w:rPr>
      </w:pPr>
      <w:r>
        <w:rPr>
          <w:rFonts w:hint="eastAsia" w:ascii="宋体"/>
          <w:b w:val="0"/>
          <w:bCs w:val="0"/>
          <w:lang w:val="en-US" w:eastAsia="zh-CN"/>
        </w:rPr>
        <w:t>十一、</w:t>
      </w:r>
      <w:r>
        <w:rPr>
          <w:rFonts w:hint="eastAsia" w:ascii="宋体"/>
        </w:rPr>
        <w:t>中山市古镇人民医院将不负责报价人准备报价文件和递交报价文件所发生的任何成本或费用。</w:t>
      </w:r>
    </w:p>
    <w:p w14:paraId="723B2050">
      <w:pPr>
        <w:numPr>
          <w:ilvl w:val="0"/>
          <w:numId w:val="0"/>
        </w:numPr>
        <w:spacing w:line="480" w:lineRule="exact"/>
        <w:ind w:leftChars="0"/>
        <w:jc w:val="both"/>
        <w:rPr>
          <w:rFonts w:hint="eastAsia" w:ascii="宋体"/>
        </w:rPr>
      </w:pPr>
      <w:r>
        <w:rPr>
          <w:rFonts w:hint="eastAsia" w:ascii="宋体"/>
          <w:b w:val="0"/>
          <w:bCs w:val="0"/>
          <w:lang w:val="en-US" w:eastAsia="zh-CN"/>
        </w:rPr>
        <w:t>十二、</w:t>
      </w:r>
      <w:r>
        <w:rPr>
          <w:rFonts w:hint="eastAsia" w:ascii="宋体"/>
        </w:rPr>
        <w:t>采购人联系方式</w:t>
      </w:r>
    </w:p>
    <w:p w14:paraId="4B42C29D">
      <w:pPr>
        <w:numPr>
          <w:ilvl w:val="0"/>
          <w:numId w:val="0"/>
        </w:numPr>
        <w:spacing w:line="480" w:lineRule="exact"/>
        <w:ind w:firstLine="420" w:firstLineChars="200"/>
        <w:jc w:val="both"/>
        <w:rPr>
          <w:rFonts w:hint="eastAsia"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4793AC63">
      <w:pPr>
        <w:numPr>
          <w:ilvl w:val="0"/>
          <w:numId w:val="0"/>
        </w:numPr>
        <w:spacing w:line="480" w:lineRule="exact"/>
        <w:ind w:firstLine="420" w:firstLineChars="200"/>
        <w:jc w:val="both"/>
        <w:rPr>
          <w:rFonts w:hint="eastAsia" w:ascii="宋体"/>
        </w:rPr>
      </w:pPr>
      <w:r>
        <w:rPr>
          <w:rFonts w:hint="eastAsia" w:ascii="宋体"/>
        </w:rPr>
        <w:t>联系人：吴先生</w:t>
      </w:r>
    </w:p>
    <w:p w14:paraId="0203BCD8">
      <w:pPr>
        <w:numPr>
          <w:ilvl w:val="0"/>
          <w:numId w:val="0"/>
        </w:numPr>
        <w:spacing w:line="480" w:lineRule="exact"/>
        <w:ind w:firstLine="420" w:firstLineChars="200"/>
        <w:jc w:val="both"/>
        <w:rPr>
          <w:rFonts w:hint="eastAsia"/>
        </w:rPr>
      </w:pPr>
      <w:r>
        <w:rPr>
          <w:rFonts w:hint="eastAsia" w:ascii="宋体" w:hAnsi="宋体"/>
        </w:rPr>
        <w:t>电</w:t>
      </w:r>
      <w:r>
        <w:rPr>
          <w:rFonts w:hint="eastAsia" w:ascii="宋体" w:hAnsi="宋体"/>
          <w:lang w:val="en-US" w:eastAsia="zh-CN"/>
        </w:rPr>
        <w:t xml:space="preserve"> </w:t>
      </w:r>
      <w:r>
        <w:rPr>
          <w:rFonts w:hint="eastAsia" w:ascii="宋体" w:hAnsi="宋体"/>
        </w:rPr>
        <w:t>话：0760-22323790</w:t>
      </w:r>
    </w:p>
    <w:p w14:paraId="7FBB4478">
      <w:pPr>
        <w:numPr>
          <w:ilvl w:val="0"/>
          <w:numId w:val="0"/>
        </w:numPr>
        <w:spacing w:line="480" w:lineRule="exact"/>
        <w:jc w:val="both"/>
        <w:rPr>
          <w:rFonts w:hint="eastAsia" w:ascii="宋体"/>
        </w:rPr>
      </w:pPr>
      <w:r>
        <w:rPr>
          <w:rFonts w:hint="eastAsia" w:ascii="宋体"/>
          <w:b w:val="0"/>
          <w:bCs w:val="0"/>
          <w:lang w:val="en-US" w:eastAsia="zh-CN"/>
        </w:rPr>
        <w:t>十三、</w:t>
      </w:r>
      <w:r>
        <w:rPr>
          <w:rFonts w:hint="eastAsia" w:ascii="宋体"/>
        </w:rPr>
        <w:t>有关此次询价之事宜，可按下列地址以书面形式向古镇人民医院查询：</w:t>
      </w:r>
    </w:p>
    <w:p w14:paraId="0EA829C0">
      <w:pPr>
        <w:numPr>
          <w:ilvl w:val="0"/>
          <w:numId w:val="0"/>
        </w:numPr>
        <w:spacing w:line="480" w:lineRule="exact"/>
        <w:ind w:firstLine="420" w:firstLineChars="200"/>
        <w:jc w:val="both"/>
        <w:rPr>
          <w:rFonts w:hint="eastAsia" w:ascii="宋体"/>
        </w:rPr>
      </w:pPr>
      <w:r>
        <w:rPr>
          <w:rFonts w:hint="eastAsia" w:ascii="宋体"/>
        </w:rPr>
        <w:t>地址:中山市中山市古镇</w:t>
      </w:r>
      <w:r>
        <w:rPr>
          <w:rFonts w:hint="eastAsia" w:ascii="宋体"/>
          <w:lang w:eastAsia="zh-CN"/>
        </w:rPr>
        <w:t>新兴中路</w:t>
      </w:r>
      <w:r>
        <w:rPr>
          <w:rFonts w:hint="eastAsia" w:ascii="宋体"/>
          <w:lang w:val="en-US" w:eastAsia="zh-CN"/>
        </w:rPr>
        <w:t>125号古镇</w:t>
      </w:r>
      <w:r>
        <w:rPr>
          <w:rFonts w:hint="eastAsia" w:ascii="宋体"/>
        </w:rPr>
        <w:t>人民医院</w:t>
      </w:r>
      <w:r>
        <w:rPr>
          <w:rFonts w:hint="eastAsia" w:ascii="宋体"/>
          <w:lang w:eastAsia="zh-CN"/>
        </w:rPr>
        <w:t>行政区</w:t>
      </w:r>
      <w:r>
        <w:rPr>
          <w:rFonts w:hint="eastAsia" w:ascii="宋体"/>
        </w:rPr>
        <w:t>总务科（采购办公室）</w:t>
      </w:r>
    </w:p>
    <w:p w14:paraId="40AC4165">
      <w:pPr>
        <w:numPr>
          <w:ilvl w:val="0"/>
          <w:numId w:val="0"/>
        </w:numPr>
        <w:spacing w:line="480" w:lineRule="exact"/>
        <w:ind w:firstLine="420" w:firstLineChars="200"/>
        <w:jc w:val="both"/>
        <w:rPr>
          <w:rFonts w:hint="eastAsia" w:ascii="宋体"/>
        </w:rPr>
      </w:pPr>
      <w:r>
        <w:rPr>
          <w:rFonts w:hint="eastAsia" w:ascii="宋体" w:hAnsi="宋体"/>
          <w:szCs w:val="21"/>
        </w:rPr>
        <w:t>联系人：吴先生</w:t>
      </w:r>
      <w:r>
        <w:rPr>
          <w:rFonts w:hint="eastAsia" w:ascii="宋体"/>
        </w:rPr>
        <w:t xml:space="preserve">   </w:t>
      </w:r>
    </w:p>
    <w:p w14:paraId="367DF89C">
      <w:pPr>
        <w:numPr>
          <w:ilvl w:val="0"/>
          <w:numId w:val="0"/>
        </w:numPr>
        <w:spacing w:line="480" w:lineRule="exact"/>
        <w:ind w:firstLine="420" w:firstLineChars="200"/>
        <w:jc w:val="both"/>
        <w:rPr>
          <w:rFonts w:hint="eastAsia" w:ascii="宋体" w:hAnsi="宋体"/>
          <w:szCs w:val="21"/>
        </w:rPr>
      </w:pPr>
      <w:r>
        <w:rPr>
          <w:rFonts w:hint="eastAsia" w:ascii="宋体"/>
        </w:rPr>
        <w:t>电  话：0760-22323790</w:t>
      </w:r>
      <w:r>
        <w:rPr>
          <w:rFonts w:hint="eastAsia" w:ascii="宋体" w:hAnsi="宋体"/>
          <w:szCs w:val="21"/>
        </w:rPr>
        <w:t xml:space="preserve">   </w:t>
      </w:r>
    </w:p>
    <w:p w14:paraId="6072D093">
      <w:pPr>
        <w:spacing w:line="480" w:lineRule="exact"/>
        <w:jc w:val="both"/>
        <w:rPr>
          <w:rFonts w:hint="eastAsia" w:ascii="宋体" w:hAnsi="宋体"/>
          <w:szCs w:val="21"/>
        </w:rPr>
      </w:pPr>
      <w:r>
        <w:rPr>
          <w:rFonts w:hint="eastAsia" w:ascii="宋体" w:hAnsi="宋体"/>
          <w:b w:val="0"/>
          <w:bCs w:val="0"/>
          <w:szCs w:val="21"/>
          <w:lang w:val="en-US" w:eastAsia="zh-CN"/>
        </w:rPr>
        <w:t>十四、</w:t>
      </w:r>
      <w:r>
        <w:rPr>
          <w:rFonts w:hint="eastAsia" w:ascii="宋体" w:hAnsi="宋体"/>
          <w:szCs w:val="21"/>
        </w:rPr>
        <w:t>监督部门：古镇人民医院监察室 联系电话：0760-22329962</w:t>
      </w:r>
    </w:p>
    <w:p w14:paraId="6895FA75">
      <w:pPr>
        <w:pStyle w:val="11"/>
        <w:jc w:val="left"/>
        <w:rPr>
          <w:rFonts w:hint="eastAsia"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p>
    <w:p w14:paraId="14548341">
      <w:pPr>
        <w:spacing w:line="480" w:lineRule="exact"/>
        <w:jc w:val="center"/>
        <w:rPr>
          <w:rFonts w:hint="eastAsia" w:ascii="宋体" w:hAnsi="宋体" w:eastAsia="宋体" w:cs="宋体"/>
          <w:b/>
          <w:bCs/>
          <w:sz w:val="32"/>
          <w:szCs w:val="32"/>
          <w:lang w:bidi="ar"/>
        </w:rPr>
      </w:pPr>
      <w:r>
        <w:rPr>
          <w:rFonts w:hint="eastAsia" w:ascii="宋体" w:hAnsi="宋体" w:eastAsia="宋体" w:cs="宋体"/>
          <w:b/>
          <w:bCs/>
          <w:sz w:val="32"/>
          <w:szCs w:val="32"/>
          <w:lang w:bidi="ar"/>
        </w:rPr>
        <w:t>二、用 户 需 求 书</w:t>
      </w:r>
    </w:p>
    <w:p w14:paraId="3EA34C1D">
      <w:pPr>
        <w:numPr>
          <w:ilvl w:val="0"/>
          <w:numId w:val="3"/>
        </w:numPr>
        <w:tabs>
          <w:tab w:val="left" w:pos="424"/>
        </w:tabs>
        <w:adjustRightInd w:val="0"/>
        <w:spacing w:line="360" w:lineRule="auto"/>
        <w:rPr>
          <w:rFonts w:hAnsi="宋体"/>
          <w:b/>
          <w:bCs/>
          <w:szCs w:val="21"/>
          <w:highlight w:val="none"/>
        </w:rPr>
      </w:pPr>
      <w:r>
        <w:rPr>
          <w:rFonts w:hint="eastAsia" w:ascii="宋体" w:hAnsi="宋体"/>
          <w:b/>
          <w:bCs/>
          <w:szCs w:val="21"/>
          <w:highlight w:val="none"/>
        </w:rPr>
        <w:t>项目要求：</w:t>
      </w:r>
    </w:p>
    <w:p w14:paraId="0BCCCB5A">
      <w:pPr>
        <w:numPr>
          <w:ilvl w:val="0"/>
          <w:numId w:val="4"/>
        </w:numPr>
        <w:tabs>
          <w:tab w:val="left" w:pos="424"/>
        </w:tabs>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项目及范围：</w:t>
      </w:r>
      <w:r>
        <w:rPr>
          <w:rFonts w:hint="eastAsia" w:ascii="宋体" w:hAnsi="宋体"/>
          <w:szCs w:val="21"/>
          <w:highlight w:val="none"/>
          <w:lang w:eastAsia="zh-CN"/>
        </w:rPr>
        <w:t>中山市古镇人民医院基于价值医疗的战略品牌管理体系建立项目（第一期）采购项目</w:t>
      </w:r>
    </w:p>
    <w:p w14:paraId="71B89E7A">
      <w:pPr>
        <w:tabs>
          <w:tab w:val="left" w:pos="424"/>
          <w:tab w:val="left" w:pos="3240"/>
        </w:tabs>
        <w:spacing w:line="360" w:lineRule="auto"/>
        <w:rPr>
          <w:rFonts w:hint="eastAsia" w:ascii="宋体" w:hAnsi="宋体" w:cs="宋体"/>
          <w:szCs w:val="21"/>
          <w:highlight w:val="none"/>
        </w:rPr>
      </w:pPr>
      <w:r>
        <w:rPr>
          <w:rFonts w:hint="eastAsia" w:ascii="宋体" w:hAnsi="宋体" w:cs="宋体"/>
          <w:szCs w:val="21"/>
          <w:highlight w:val="none"/>
        </w:rPr>
        <w:t>2. 交货期：本项目服务期限为三个月。如出现重大疫情、医院搬迁等不可抗拒的外部因素，项目进度经双方协商后可适当延期。</w:t>
      </w:r>
    </w:p>
    <w:p w14:paraId="4BC2FCA5">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szCs w:val="21"/>
          <w:highlight w:val="none"/>
        </w:rPr>
        <w:t>3. 本项目报价应包括：成交人</w:t>
      </w:r>
      <w:r>
        <w:rPr>
          <w:rFonts w:hint="eastAsia" w:ascii="宋体" w:hAnsi="宋体" w:cs="宋体"/>
          <w:kern w:val="28"/>
          <w:szCs w:val="21"/>
          <w:highlight w:val="none"/>
        </w:rPr>
        <w:t>承包及负责询价文件对成交人要求的一切事宜及责任包括货物、运输、验收相关服务等。</w:t>
      </w:r>
    </w:p>
    <w:p w14:paraId="63EAAC51">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4. </w:t>
      </w:r>
      <w:r>
        <w:rPr>
          <w:rFonts w:hint="eastAsia" w:ascii="宋体" w:hAnsi="宋体" w:cs="宋体"/>
          <w:szCs w:val="21"/>
          <w:highlight w:val="none"/>
        </w:rPr>
        <w:t>本项目</w:t>
      </w:r>
      <w:r>
        <w:rPr>
          <w:rFonts w:hint="eastAsia" w:ascii="宋体" w:hAnsi="宋体" w:cs="宋体"/>
          <w:szCs w:val="21"/>
          <w:highlight w:val="none"/>
          <w:lang w:val="en-US" w:eastAsia="zh-CN"/>
        </w:rPr>
        <w:t>投标</w:t>
      </w:r>
      <w:r>
        <w:rPr>
          <w:rFonts w:hint="eastAsia" w:ascii="宋体" w:hAnsi="宋体" w:cs="宋体"/>
          <w:szCs w:val="21"/>
          <w:highlight w:val="none"/>
        </w:rPr>
        <w:t>文件对成交人要求的一切事宜及责任由成交人承包。</w:t>
      </w:r>
    </w:p>
    <w:p w14:paraId="16AE66C2">
      <w:pPr>
        <w:tabs>
          <w:tab w:val="left" w:pos="424"/>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5. </w:t>
      </w:r>
      <w:r>
        <w:rPr>
          <w:rFonts w:hint="eastAsia" w:ascii="宋体" w:hAnsi="宋体" w:cs="宋体"/>
          <w:szCs w:val="21"/>
          <w:highlight w:val="none"/>
        </w:rPr>
        <w:t>成交人未经采购人批准，不得再以任何方式转包或分包，否则被视为违约，追究当事人责任，并承担相应的损失。</w:t>
      </w:r>
    </w:p>
    <w:p w14:paraId="05390381">
      <w:pPr>
        <w:tabs>
          <w:tab w:val="left" w:pos="424"/>
          <w:tab w:val="left" w:pos="3240"/>
        </w:tabs>
        <w:spacing w:line="360" w:lineRule="auto"/>
        <w:rPr>
          <w:rFonts w:hint="eastAsia"/>
          <w:szCs w:val="21"/>
          <w:highlight w:val="none"/>
        </w:rPr>
      </w:pPr>
      <w:r>
        <w:rPr>
          <w:rFonts w:hint="eastAsia" w:ascii="宋体" w:hAnsi="宋体" w:cs="宋体"/>
          <w:kern w:val="28"/>
          <w:szCs w:val="21"/>
          <w:highlight w:val="none"/>
        </w:rPr>
        <w:t>6.</w:t>
      </w:r>
      <w:r>
        <w:rPr>
          <w:rFonts w:hint="eastAsia" w:ascii="宋体" w:hAnsi="宋体" w:cs="宋体"/>
          <w:kern w:val="28"/>
          <w:szCs w:val="21"/>
          <w:highlight w:val="none"/>
          <w:lang w:val="en-US" w:eastAsia="zh-CN"/>
        </w:rPr>
        <w:t xml:space="preserve"> </w:t>
      </w:r>
      <w:r>
        <w:rPr>
          <w:rFonts w:hint="eastAsia" w:ascii="宋体" w:hAnsi="宋体" w:cs="宋体"/>
          <w:szCs w:val="21"/>
          <w:highlight w:val="none"/>
        </w:rPr>
        <w:t>本项目不接受联合体报</w:t>
      </w:r>
      <w:r>
        <w:rPr>
          <w:rFonts w:hint="eastAsia"/>
          <w:szCs w:val="21"/>
          <w:highlight w:val="none"/>
        </w:rPr>
        <w:t>价。</w:t>
      </w:r>
    </w:p>
    <w:p w14:paraId="0DA0159A">
      <w:pPr>
        <w:widowControl w:val="0"/>
        <w:spacing w:line="360" w:lineRule="auto"/>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7</w:t>
      </w:r>
      <w:r>
        <w:rPr>
          <w:rFonts w:hint="eastAsia" w:ascii="宋体" w:hAnsi="宋体" w:cs="宋体"/>
          <w:szCs w:val="21"/>
          <w:highlight w:val="none"/>
          <w:shd w:val="clear" w:color="auto" w:fill="FFFFFF"/>
          <w:lang w:val="en-US" w:eastAsia="zh-CN"/>
        </w:rPr>
        <w:t>. 服务</w:t>
      </w:r>
      <w:r>
        <w:rPr>
          <w:rFonts w:hint="eastAsia" w:ascii="宋体" w:hAnsi="宋体" w:cs="宋体"/>
          <w:b w:val="0"/>
          <w:bCs w:val="0"/>
          <w:szCs w:val="21"/>
          <w:highlight w:val="none"/>
          <w:shd w:val="clear" w:color="auto" w:fill="FFFFFF"/>
        </w:rPr>
        <w:t>地点：</w:t>
      </w:r>
      <w:r>
        <w:rPr>
          <w:rFonts w:hint="eastAsia" w:ascii="宋体" w:hAnsi="宋体"/>
          <w:b w:val="0"/>
          <w:bCs w:val="0"/>
          <w:szCs w:val="21"/>
          <w:highlight w:val="none"/>
          <w:lang w:val="en-US" w:eastAsia="zh-CN"/>
        </w:rPr>
        <w:t>中山市古镇人民医院。</w:t>
      </w:r>
      <w:r>
        <w:rPr>
          <w:rFonts w:hint="eastAsia" w:ascii="宋体" w:hAnsi="宋体" w:cs="宋体"/>
          <w:szCs w:val="21"/>
          <w:highlight w:val="none"/>
          <w:shd w:val="clear" w:color="auto" w:fill="FFFFFF"/>
        </w:rPr>
        <w:t>  </w:t>
      </w:r>
    </w:p>
    <w:p w14:paraId="17969FB3">
      <w:pPr>
        <w:tabs>
          <w:tab w:val="left" w:pos="424"/>
          <w:tab w:val="left" w:pos="3240"/>
        </w:tabs>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8. </w:t>
      </w:r>
      <w:r>
        <w:rPr>
          <w:rFonts w:hint="eastAsia" w:ascii="宋体" w:hAnsi="宋体" w:cs="宋体"/>
          <w:szCs w:val="21"/>
          <w:highlight w:val="none"/>
        </w:rPr>
        <w:t>报价要求</w:t>
      </w:r>
      <w:r>
        <w:rPr>
          <w:rFonts w:hint="eastAsia" w:ascii="宋体" w:hAnsi="宋体" w:cs="宋体"/>
          <w:szCs w:val="21"/>
          <w:highlight w:val="none"/>
          <w:lang w:eastAsia="zh-CN"/>
        </w:rPr>
        <w:t>：</w:t>
      </w:r>
      <w:r>
        <w:rPr>
          <w:rFonts w:hint="eastAsia" w:ascii="宋体" w:hAnsi="宋体" w:cs="宋体"/>
          <w:szCs w:val="21"/>
          <w:highlight w:val="none"/>
        </w:rPr>
        <w:t>本次报价为人民币报价，包含：货物费、运输费、税费（含关税）等所有费用。</w:t>
      </w:r>
    </w:p>
    <w:p w14:paraId="6F59B9C7">
      <w:pPr>
        <w:numPr>
          <w:ilvl w:val="0"/>
          <w:numId w:val="3"/>
        </w:numPr>
        <w:tabs>
          <w:tab w:val="left" w:pos="424"/>
          <w:tab w:val="left" w:pos="3240"/>
        </w:tabs>
        <w:spacing w:line="360" w:lineRule="auto"/>
        <w:ind w:left="450" w:leftChars="0" w:hanging="450" w:firstLineChars="0"/>
        <w:rPr>
          <w:rFonts w:hint="eastAsia" w:ascii="宋体" w:hAnsi="宋体" w:cs="宋体"/>
          <w:b/>
          <w:bCs/>
          <w:szCs w:val="21"/>
          <w:highlight w:val="none"/>
          <w:lang w:val="en-US" w:eastAsia="zh-CN"/>
        </w:rPr>
      </w:pPr>
      <w:r>
        <w:rPr>
          <w:rFonts w:hint="eastAsia"/>
          <w:b/>
          <w:bCs/>
          <w:lang w:eastAsia="zh-CN"/>
        </w:rPr>
        <w:t>服务要求</w:t>
      </w:r>
      <w:r>
        <w:rPr>
          <w:rFonts w:hint="eastAsia" w:ascii="宋体" w:hAnsi="宋体" w:cs="宋体"/>
          <w:b/>
          <w:bCs/>
          <w:szCs w:val="21"/>
          <w:highlight w:val="none"/>
          <w:lang w:val="en-US" w:eastAsia="zh-CN"/>
        </w:rPr>
        <w:t>：</w:t>
      </w:r>
    </w:p>
    <w:bookmarkEnd w:id="1"/>
    <w:bookmarkEnd w:id="2"/>
    <w:bookmarkEnd w:id="3"/>
    <w:bookmarkEnd w:id="4"/>
    <w:p w14:paraId="7699C240">
      <w:pPr>
        <w:pStyle w:val="11"/>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（一）项目背景</w:t>
      </w:r>
    </w:p>
    <w:p w14:paraId="3303CD87">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近年来，在国家健康中国战略的引领下，我国医疗卫生事业蓬勃发展，医院作为专业的医疗服务提供者在社会中的地位日益突出。与此同时，医疗行业的竞争也日趋激烈，医院之间的差异化竞争愈发激烈。在此背景下，医院必须重视品牌建设，通过构建独特的品牌形象和价值主张来增强自身的竞争优势。</w:t>
      </w:r>
    </w:p>
    <w:p w14:paraId="21ED9AAB">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为进一步提高古镇人民医院各学科影响力，树立中山市西北部居民熟知的古医品牌，古镇人民医院拟采购一家服务供应商，对两个临床专科（具体专科待定）提供全方位的品牌打造与宣传推广服务。</w:t>
      </w:r>
    </w:p>
    <w:p w14:paraId="11DCD0EF">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供应商应配备专业团队，根据医院及科室的要求与实际情况，采用适合的宣传模式，对各项宣传推广服务进行无缝整合，用以推动科室业务发展，以及建立更优质的患者和员工体验，最终为将古镇人民医院打造成患者值得信赖的“家门口的高水平医院”而努力。</w:t>
      </w:r>
    </w:p>
    <w:p w14:paraId="075D8191">
      <w:pPr>
        <w:pStyle w:val="11"/>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（二）主要服务内容 </w:t>
      </w:r>
    </w:p>
    <w:p w14:paraId="17B2CC23">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1.品牌诊断：</w:t>
      </w:r>
    </w:p>
    <w:p w14:paraId="22B980A7">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 内外部环境分析</w:t>
      </w:r>
    </w:p>
    <w:p w14:paraId="782A6D8B">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医院发展战略与资源优势分析、行业竞争格局及趋势判断、政策法规环境与监管要求； </w:t>
      </w:r>
    </w:p>
    <w:p w14:paraId="70B41E4F">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 目标群体洞察</w:t>
      </w:r>
    </w:p>
    <w:p w14:paraId="61D8138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患者群体画像及需求特点、价值医疗诉求与期望；</w:t>
      </w:r>
    </w:p>
    <w:p w14:paraId="49E09AA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 竞争格局评估</w:t>
      </w:r>
    </w:p>
    <w:p w14:paraId="5683529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同行医院品牌定位对标、差异化优势和劣势分析；</w:t>
      </w:r>
    </w:p>
    <w:p w14:paraId="2C178AE1">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2.战略品牌管理系统性培训：</w:t>
      </w:r>
    </w:p>
    <w:p w14:paraId="064841E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战略品牌管理系统性培训主要包括以下几个核心内容：</w:t>
      </w:r>
    </w:p>
    <w:p w14:paraId="17DE92E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2.1品牌理论基础：介绍品牌的基本概念、品牌价值的形成及其在市场中的作用，帮助学员理解品牌的重要性。</w:t>
      </w:r>
    </w:p>
    <w:p w14:paraId="432CD0E2">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2.2市场分析：教授如何进行市场调研与分析，包括消费者行为研究、竞争对手分析及市场趋势预测，确保品牌策略的科学性。</w:t>
      </w:r>
    </w:p>
    <w:p w14:paraId="3F9B5E94">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2.3品牌定位：讲解品牌定位的原则与方法，帮助学员制定清晰的品牌定位策略，以便在目标市场中脱颖而出。</w:t>
      </w:r>
    </w:p>
    <w:p w14:paraId="5D619C0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2.4品牌传播：探讨品牌传播的策略与渠道，包括广告、公关、社交媒体等，强调如何有效传递品牌价值与信息。</w:t>
      </w:r>
    </w:p>
    <w:p w14:paraId="0D0EF14A">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2.5品牌管理与维护：研究品牌生命周期管理，探讨品牌扩展、品牌重塑及危机管理策略，确保品牌在长期发展中的持续竞争力。</w:t>
      </w:r>
    </w:p>
    <w:p w14:paraId="473F6B9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2.6案例分析：通过实际案例分析，加深学员对品牌管理实践的理解，提升解决实际问题的能力。</w:t>
      </w:r>
    </w:p>
    <w:p w14:paraId="11FE3FE7">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3.品牌定位评估及优化：</w:t>
      </w:r>
    </w:p>
    <w:p w14:paraId="454A298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结合医院战略目标，梳理品牌核心价值主张，确立以"价值医疗"为中心的科室品牌定位，细化专业、温馨、创新等品牌个性特质，突出医院在专科优势、技术实力、服务质量等方面的差异化优势。</w:t>
      </w:r>
    </w:p>
    <w:p w14:paraId="74B4E71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4.品牌视觉形象优化：</w:t>
      </w:r>
    </w:p>
    <w:p w14:paraId="10E3E8A0">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4.1 VI系统升级</w:t>
      </w:r>
    </w:p>
    <w:p w14:paraId="5BB8E2F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根据优化后的品牌定位，对logo、色彩、字体等核心视觉元素进行全面升级，设计简洁大气、专业温馨的视觉系统，增强品牌的辨识度和吸引力；</w:t>
      </w:r>
    </w:p>
    <w:p w14:paraId="2F57228F">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4.2 统一品牌视觉表达</w:t>
      </w:r>
    </w:p>
    <w:p w14:paraId="2F27982B">
      <w:pPr>
        <w:pStyle w:val="11"/>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统一品牌视觉表达，规范科室在视觉呈现上的一致性，在各类宣传物料、文具用品等载体上统一展现品牌视觉形象；</w:t>
      </w:r>
    </w:p>
    <w:p w14:paraId="09B9DF22">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4.3 院内外环境呈现</w:t>
      </w:r>
    </w:p>
    <w:p w14:paraId="49E87144">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优化科室标识系统、导示系统、环境装饰等，营造专业、温馨的就医氛围提升医院大厅、就诊区域等重点区域的视觉呈现，强化品牌形象传达。</w:t>
      </w:r>
    </w:p>
    <w:p w14:paraId="5602B6C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5.品牌宣传能力优化：</w:t>
      </w:r>
    </w:p>
    <w:p w14:paraId="5C185F7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 整合营销传播体系</w:t>
      </w:r>
    </w:p>
    <w:p w14:paraId="78F805F4">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5.1.1 线上传播矩阵建设</w:t>
      </w:r>
    </w:p>
    <w:p w14:paraId="0983E3A6">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优化医院官网，提升内容专业性和互动性，运营微信公众号、抖音等社交媒体矩阵，开展精准内容营销、借助搜索广告、社媒广告等手段，提升医院在线上的曝光度，发挥医院科室、专家等自有IP影响力，开展内容矩阵传播；</w:t>
      </w:r>
    </w:p>
    <w:p w14:paraId="4063557B">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5.1.2 线下渠道优化</w:t>
      </w:r>
    </w:p>
    <w:p w14:paraId="15EE8164">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优化医院环境内的VI展示，打造品牌形象标识，投放专业、温馨的院外广告宣传，持续强化品牌曝光，策划并组织主题鲜明的公益活动、学术交流等，提升社会影响力；</w:t>
      </w:r>
    </w:p>
    <w:p w14:paraId="59175A8D">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5.1.3 内容营销策略</w:t>
      </w:r>
    </w:p>
    <w:p w14:paraId="161F5C5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聚焦医疗服务的价值诉求，打造高质量的品牌内容矩阵，融入患者视角，讲述贴近群众的品牌故事和健康知识，发挥自有IP影响力，增强内容传播的生命力； </w:t>
      </w:r>
    </w:p>
    <w:p w14:paraId="6649DA3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5.1.4 品牌活动规划</w:t>
      </w:r>
    </w:p>
    <w:p w14:paraId="60BD7092">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策划主题突出、内容丰富的线上线下品牌营销活动，突出医疗服务的价值创造，增强品牌在目标群体中的影响力，借助活动传播，持续提升医院在公众心中的美誉度。</w:t>
      </w:r>
    </w:p>
    <w:p w14:paraId="15868ADE">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 价值医疗体验提升</w:t>
      </w:r>
    </w:p>
    <w:p w14:paraId="3D85A52A">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5.2.1 就医流程优化</w:t>
      </w:r>
    </w:p>
    <w:p w14:paraId="1171BBB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从预约、挂号、候诊、诊疗、缴费等关键环节着手，优化患者全流程就医体验，提升就医效率和便利性，缩短等待时间，改善服务质量，建立投诉处理和服务反馈机制,及时发现和解决患者痛点；</w:t>
      </w:r>
    </w:p>
    <w:p w14:paraId="2CBE38D7">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5.2.2 服务标准化</w:t>
      </w:r>
    </w:p>
    <w:p w14:paraId="36C5F85C">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制定标准化的服务流程和规范，确保服务质量的一致性和可复制性，建立KPI考核体系，将服务质量指标纳入绩效考核，定期开展服务培训和技能提升，持续提高员工服务水平；</w:t>
      </w:r>
    </w:p>
    <w:p w14:paraId="00127498">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5.2.3 员工品牌培养</w:t>
      </w:r>
    </w:p>
    <w:p w14:paraId="53E670EC">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强化全体员工的品牌意识和使命认同,让员工成为品牌的坚实后盾，建立完善的品牌培训体系，提升员工的业务技能和服务技能，制定有效的员工激励机制，充分调动员工的主动性和积极性； </w:t>
      </w:r>
    </w:p>
    <w:p w14:paraId="1B154380">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5.2.4 品牌文化建设</w:t>
      </w:r>
    </w:p>
    <w:p w14:paraId="141FA31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营造积极向上、团结协作的品牌文化氛围，发掘并传播品牌价值观、服务理念等典型案例，定期开展文化宣贯活动，增强员工对品牌的认同感和归属感；</w:t>
      </w:r>
    </w:p>
    <w:p w14:paraId="0924194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通过优化就医流程、规范化服务标准、培养员工品牌意识以及营造品牌文化氛围等措施，医院将全面提升患者的就医体验，使医院的品牌形象得到持续增强。</w:t>
      </w:r>
    </w:p>
    <w:p w14:paraId="29017B22">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（三）服务实施阶段及有关要求 </w:t>
      </w:r>
    </w:p>
    <w:p w14:paraId="173DBB6F">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第一阶段：需求调研准备及需求调研</w:t>
      </w:r>
    </w:p>
    <w:p w14:paraId="2443A1B9">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此阶段主要是明确项目目标、制定项目计划和项目标准、分配团队人员的相关工作任务。投标人须进行项目的管理方法、调研方法、实施方法制定，系统工具包使用的基础培训，用户访谈，以及对常见的业务运作模式进行调研。</w:t>
      </w:r>
    </w:p>
    <w:p w14:paraId="7FFCBB54">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第二阶段：宣传推广正式启动</w:t>
      </w:r>
    </w:p>
    <w:p w14:paraId="02EA80A3">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此阶段，线上线下的宣传推广活动正式启动，让拟提升学科以一个崭新的面貌映入大众眼帘。投标人在拓客引流、推广优化等方面做好基础夯实工作，提升患者的就医体验，提升患者的就医信心，为后续口碑传播打好基础。</w:t>
      </w:r>
    </w:p>
    <w:p w14:paraId="2AA9F6BF">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第三阶段：文化宣传的优化升级</w:t>
      </w:r>
    </w:p>
    <w:p w14:paraId="67FA0FAC">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经过前期准备和推广过程中的对照检验，投标人对品牌、服务、宣传等方面进行经验总结，针对推广过程中存在的问题进行优化，拓宽引流，提升患者的就诊转化率，重点针对文化宣传及推广进行梳理及优化升级，做好数据分析，宣传推广及活动持续推进。</w:t>
      </w:r>
    </w:p>
    <w:p w14:paraId="3F2D0AEB">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第四阶段：保持高质量、高频率的常态化宣传</w:t>
      </w:r>
    </w:p>
    <w:p w14:paraId="2C03FAB5">
      <w:pPr>
        <w:pStyle w:val="11"/>
        <w:ind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此阶段为宣传推广持续期，投标人应不断总结、不断调整、不断优化，宣传工作进入常态化阶段，线上线下推广及活动常态化运作，空间、服务、社群、数据等方面持续更新迭代。</w:t>
      </w:r>
    </w:p>
    <w:p w14:paraId="70224409">
      <w:pPr>
        <w:pStyle w:val="11"/>
        <w:numPr>
          <w:ilvl w:val="0"/>
          <w:numId w:val="3"/>
        </w:numPr>
        <w:ind w:left="450" w:leftChars="0" w:hanging="450" w:firstLineChars="0"/>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商务要求</w:t>
      </w:r>
    </w:p>
    <w:p w14:paraId="1152BD7C">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1.报价要求：</w:t>
      </w:r>
    </w:p>
    <w:p w14:paraId="38093070">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1）本项目预算上限金额为：人民币壹拾玖万贰仟元整（¥192000元）。服务期限内超出此支付上限，将不予支付。</w:t>
      </w:r>
    </w:p>
    <w:p w14:paraId="5077320C">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中标供应商的投标总价作为本项目签订合同的依据。一经中标，将严格按照中标供应商的投标报价执行，请勿乱报价。如因乱报价导致的不良后果，由中标供应商承担全部责任，并可能影响其以后参加政府采购的项目投标。各投标人在投标报价时，应充分考虑投标报价的风险。</w:t>
      </w:r>
    </w:p>
    <w:p w14:paraId="0932B6DA">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投标人应根据本企业的成本自行决定报价，报价明显低于其他通过资格及符合性审查的投标人的报价，供应商必须做出报价合理性说明（格式自定），证明低价不会影响产品及服务的质量或者导致不能诚信履约，必要时提交相关证明材料。</w:t>
      </w:r>
    </w:p>
    <w:p w14:paraId="41FC239D">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投标人应充分了解项目的位置、情况、道路及任何其它足以影响投标报价的情况，任何因忽视或误解项目情况而导致的索赔或服务期限延长申请将不获批准。投标人不得期望通过索赔等方式获取补偿，否则，除可能遭到拒绝外，还可能将被作为不良行为记录在案，并可能影响其以后参加政府采购的项目投标。各投标人在投标报价时，应充分考虑投标报价的风险。</w:t>
      </w:r>
    </w:p>
    <w:p w14:paraId="22AD7BAD">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5）报价包含货物价格及总服务费、检测费、管理费、运输费、挑选费用、清理费、工具设备费、相关人员的工资、交通费、差旅费、工伤费、保险费、相关税费、利润等直至验收合格前的所有相关费用。</w:t>
      </w:r>
    </w:p>
    <w:p w14:paraId="146B9DB9">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2.付款方式：</w:t>
      </w:r>
    </w:p>
    <w:p w14:paraId="0B75D407">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采购人与中标方双方合同签订后，经双方商议确定各实施阶段进场时间，进场时间须在签订合同一年内。</w:t>
      </w:r>
    </w:p>
    <w:p w14:paraId="15B74BA8">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第一阶段开展前，采购人支付合同金额的20%，作为品牌诊断调研的咨询费用。第一阶段在项目启动的10个工作日内完成，结束后中标方完成并交付：《医院战略品牌管理系统性调研报告》。</w:t>
      </w:r>
    </w:p>
    <w:p w14:paraId="67BC6566">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二阶段开展前，采购人支付合同金额的40%，作为线上传播矩阵建设、优质内容传播策略构建的咨询费用。中标方结合甲方要求，完成XX科室内容传播矩阵建设事宜，该阶段在项目启动的30个工作日内完成。中标方完成并交付：《古镇人民医院XX科室品牌传播矩阵管理报告》。</w:t>
      </w:r>
    </w:p>
    <w:p w14:paraId="2D73A30D">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第三阶段开展前，采购人支付合同金额的40%，作为战略品牌管理体系系统性培训、品牌视觉形象优化、服务标准化培训的咨询费用。第三阶段在项目启动的30个工作日内完成。结束后，中标方完成并交付：《古镇人民医院XX科室战略品牌管理方案》（初稿）、《古镇人民医院XX科室6S精益管理报告》、《古镇人民医院XX科室优质服务培训报告》。</w:t>
      </w:r>
    </w:p>
    <w:p w14:paraId="126D6127">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注：中标方开具相应的增值税发票(发票不作为付款凭证，以转账记录为准)</w:t>
      </w:r>
    </w:p>
    <w:p w14:paraId="05CF7499">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5.违约责任：</w:t>
      </w:r>
    </w:p>
    <w:p w14:paraId="347E931D">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1）中标方若违反信息保密义务，采购方有权解除合同，并向中标方索赔由此造成的全部损失</w:t>
      </w:r>
    </w:p>
    <w:p w14:paraId="037A28B1">
      <w:pPr>
        <w:pStyle w:val="11"/>
        <w:numPr>
          <w:ilvl w:val="0"/>
          <w:numId w:val="0"/>
        </w:numPr>
        <w:ind w:leftChars="0" w:firstLine="420" w:firstLineChars="20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2）如因中标方原因导致项目延迟，甲方作为受损方，有权要求乙方赔偿合同价格2倍的经济损失。</w:t>
      </w:r>
    </w:p>
    <w:p w14:paraId="438E4D26">
      <w:pPr>
        <w:pStyle w:val="2"/>
        <w:rPr>
          <w:rFonts w:hint="eastAsia"/>
        </w:rPr>
      </w:pPr>
    </w:p>
    <w:p w14:paraId="228D1DD3">
      <w:pPr>
        <w:rPr>
          <w:rFonts w:hint="eastAsia"/>
          <w:b/>
          <w:bCs/>
        </w:rPr>
      </w:pPr>
      <w:r>
        <w:rPr>
          <w:rFonts w:hint="eastAsia"/>
          <w:b/>
          <w:bCs/>
        </w:rPr>
        <w:t>四、评标方法及标准：</w:t>
      </w:r>
    </w:p>
    <w:p w14:paraId="25EB0A53">
      <w:pPr>
        <w:ind w:firstLine="268" w:firstLineChars="0"/>
        <w:rPr>
          <w:rFonts w:hint="eastAsia"/>
          <w:sz w:val="21"/>
          <w:szCs w:val="21"/>
        </w:rPr>
      </w:pPr>
      <w:r>
        <w:rPr>
          <w:rFonts w:hint="eastAsia"/>
          <w:sz w:val="21"/>
          <w:szCs w:val="21"/>
        </w:rPr>
        <w:t>评标方法：综合评分法</w:t>
      </w:r>
    </w:p>
    <w:p w14:paraId="1601C461">
      <w:pPr>
        <w:ind w:firstLine="268" w:firstLineChars="0"/>
        <w:rPr>
          <w:rFonts w:hint="eastAsia"/>
        </w:rPr>
      </w:pPr>
      <w:r>
        <w:rPr>
          <w:rFonts w:hint="eastAsia"/>
        </w:rPr>
        <w:t>投标文件满足招标文件全部实质性要求，且按照评审因素的量化指标评审得分最高的投标人为中标候选人的评标方法。</w:t>
      </w:r>
    </w:p>
    <w:p w14:paraId="1B8C536C">
      <w:pPr>
        <w:ind w:firstLine="268" w:firstLineChars="0"/>
        <w:rPr>
          <w:rFonts w:hint="eastAsia"/>
          <w:sz w:val="21"/>
          <w:szCs w:val="21"/>
        </w:rPr>
      </w:pPr>
      <w:r>
        <w:rPr>
          <w:rFonts w:hint="eastAsia"/>
          <w:sz w:val="21"/>
          <w:szCs w:val="21"/>
        </w:rPr>
        <w:t>各部分得分权重分配如下：</w:t>
      </w:r>
    </w:p>
    <w:tbl>
      <w:tblPr>
        <w:tblStyle w:val="7"/>
        <w:tblpPr w:leftFromText="180" w:rightFromText="180" w:vertAnchor="text" w:horzAnchor="page" w:tblpX="1829" w:tblpY="120"/>
        <w:tblOverlap w:val="never"/>
        <w:tblW w:w="4984"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30" w:type="dxa"/>
          <w:bottom w:w="57" w:type="dxa"/>
          <w:right w:w="30" w:type="dxa"/>
        </w:tblCellMar>
      </w:tblPr>
      <w:tblGrid>
        <w:gridCol w:w="2145"/>
        <w:gridCol w:w="1950"/>
        <w:gridCol w:w="1860"/>
        <w:gridCol w:w="2385"/>
      </w:tblGrid>
      <w:tr w14:paraId="54375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92" w:hRule="atLeast"/>
        </w:trPr>
        <w:tc>
          <w:tcPr>
            <w:tcW w:w="1285" w:type="pct"/>
            <w:noWrap w:val="0"/>
            <w:vAlign w:val="center"/>
          </w:tcPr>
          <w:p w14:paraId="0047BE64">
            <w:pPr>
              <w:autoSpaceDE w:val="0"/>
              <w:autoSpaceDN w:val="0"/>
              <w:adjustRightInd w:val="0"/>
              <w:jc w:val="center"/>
              <w:rPr>
                <w:rFonts w:hint="eastAsia" w:ascii="仿宋" w:hAnsi="仿宋" w:eastAsia="仿宋" w:cs="仿宋"/>
                <w:kern w:val="0"/>
                <w:szCs w:val="21"/>
                <w:lang w:val="zh-CN"/>
              </w:rPr>
            </w:pPr>
            <w:r>
              <w:rPr>
                <w:rFonts w:hint="eastAsia" w:ascii="仿宋" w:hAnsi="仿宋" w:eastAsia="仿宋" w:cs="仿宋"/>
                <w:kern w:val="0"/>
                <w:szCs w:val="21"/>
                <w:lang w:val="zh-CN"/>
              </w:rPr>
              <w:t>评价内容</w:t>
            </w:r>
          </w:p>
        </w:tc>
        <w:tc>
          <w:tcPr>
            <w:tcW w:w="1169" w:type="pct"/>
            <w:noWrap w:val="0"/>
            <w:vAlign w:val="center"/>
          </w:tcPr>
          <w:p w14:paraId="75DA4674">
            <w:pPr>
              <w:autoSpaceDE w:val="0"/>
              <w:autoSpaceDN w:val="0"/>
              <w:adjustRightInd w:val="0"/>
              <w:jc w:val="center"/>
              <w:rPr>
                <w:rFonts w:hint="eastAsia" w:ascii="仿宋" w:hAnsi="仿宋" w:eastAsia="仿宋" w:cs="仿宋"/>
                <w:kern w:val="0"/>
                <w:szCs w:val="21"/>
                <w:lang w:val="zh-CN"/>
              </w:rPr>
            </w:pPr>
            <w:r>
              <w:rPr>
                <w:rFonts w:hint="eastAsia" w:ascii="仿宋" w:hAnsi="仿宋" w:eastAsia="仿宋" w:cs="仿宋"/>
                <w:bCs/>
                <w:szCs w:val="21"/>
              </w:rPr>
              <w:t>价格部分</w:t>
            </w:r>
          </w:p>
        </w:tc>
        <w:tc>
          <w:tcPr>
            <w:tcW w:w="1115" w:type="pct"/>
            <w:noWrap w:val="0"/>
            <w:vAlign w:val="center"/>
          </w:tcPr>
          <w:p w14:paraId="3C982C36">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lang w:val="en-US" w:eastAsia="zh-CN"/>
              </w:rPr>
              <w:t>技术</w:t>
            </w:r>
            <w:r>
              <w:rPr>
                <w:rFonts w:hint="eastAsia" w:ascii="仿宋" w:hAnsi="仿宋" w:eastAsia="仿宋" w:cs="仿宋"/>
                <w:bCs/>
                <w:szCs w:val="21"/>
              </w:rPr>
              <w:t>商务部分</w:t>
            </w:r>
          </w:p>
        </w:tc>
        <w:tc>
          <w:tcPr>
            <w:tcW w:w="1429" w:type="pct"/>
            <w:noWrap w:val="0"/>
            <w:vAlign w:val="center"/>
          </w:tcPr>
          <w:p w14:paraId="1193D4BA">
            <w:pPr>
              <w:autoSpaceDE w:val="0"/>
              <w:autoSpaceDN w:val="0"/>
              <w:adjustRightInd w:val="0"/>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合计</w:t>
            </w:r>
          </w:p>
        </w:tc>
      </w:tr>
      <w:tr w14:paraId="0FCF69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1285" w:type="pct"/>
            <w:noWrap w:val="0"/>
            <w:vAlign w:val="center"/>
          </w:tcPr>
          <w:p w14:paraId="6DD34692">
            <w:pPr>
              <w:autoSpaceDE w:val="0"/>
              <w:autoSpaceDN w:val="0"/>
              <w:adjustRightInd w:val="0"/>
              <w:jc w:val="center"/>
              <w:rPr>
                <w:rFonts w:hint="eastAsia" w:ascii="仿宋" w:hAnsi="仿宋" w:eastAsia="仿宋" w:cs="仿宋"/>
                <w:kern w:val="0"/>
                <w:szCs w:val="21"/>
                <w:lang w:val="zh-CN"/>
              </w:rPr>
            </w:pPr>
            <w:r>
              <w:rPr>
                <w:rFonts w:hint="eastAsia" w:ascii="仿宋" w:hAnsi="仿宋" w:eastAsia="仿宋" w:cs="仿宋"/>
                <w:kern w:val="0"/>
                <w:szCs w:val="21"/>
                <w:lang w:val="zh-CN"/>
              </w:rPr>
              <w:t>分值</w:t>
            </w:r>
          </w:p>
        </w:tc>
        <w:tc>
          <w:tcPr>
            <w:tcW w:w="1169" w:type="pct"/>
            <w:noWrap w:val="0"/>
            <w:vAlign w:val="center"/>
          </w:tcPr>
          <w:p w14:paraId="160CC546">
            <w:pPr>
              <w:autoSpaceDE w:val="0"/>
              <w:autoSpaceDN w:val="0"/>
              <w:adjustRightInd w:val="0"/>
              <w:jc w:val="center"/>
              <w:rPr>
                <w:rFonts w:hint="eastAsia" w:ascii="仿宋" w:hAnsi="仿宋" w:eastAsia="仿宋" w:cs="仿宋"/>
                <w:kern w:val="0"/>
                <w:lang w:val="en-US"/>
              </w:rPr>
            </w:pPr>
            <w:r>
              <w:rPr>
                <w:rFonts w:hint="eastAsia" w:ascii="仿宋" w:hAnsi="仿宋" w:eastAsia="仿宋" w:cs="仿宋"/>
                <w:kern w:val="0"/>
                <w:lang w:val="en-US" w:eastAsia="zh-CN"/>
              </w:rPr>
              <w:t>20分</w:t>
            </w:r>
          </w:p>
        </w:tc>
        <w:tc>
          <w:tcPr>
            <w:tcW w:w="1115" w:type="pct"/>
            <w:noWrap w:val="0"/>
            <w:vAlign w:val="center"/>
          </w:tcPr>
          <w:p w14:paraId="0F0EDFD9">
            <w:pPr>
              <w:autoSpaceDE w:val="0"/>
              <w:autoSpaceDN w:val="0"/>
              <w:adjustRightInd w:val="0"/>
              <w:jc w:val="center"/>
              <w:rPr>
                <w:rFonts w:hint="eastAsia" w:ascii="仿宋" w:hAnsi="仿宋" w:eastAsia="仿宋" w:cs="仿宋"/>
                <w:kern w:val="0"/>
                <w:lang w:val="zh-CN"/>
              </w:rPr>
            </w:pPr>
            <w:r>
              <w:rPr>
                <w:rFonts w:hint="eastAsia" w:ascii="仿宋" w:hAnsi="仿宋" w:eastAsia="仿宋" w:cs="仿宋"/>
                <w:kern w:val="0"/>
                <w:lang w:val="en-US" w:eastAsia="zh-CN"/>
              </w:rPr>
              <w:t>80</w:t>
            </w:r>
            <w:r>
              <w:rPr>
                <w:rFonts w:hint="eastAsia" w:ascii="仿宋" w:hAnsi="仿宋" w:eastAsia="仿宋" w:cs="仿宋"/>
                <w:kern w:val="0"/>
                <w:lang w:val="zh-CN"/>
              </w:rPr>
              <w:t>分</w:t>
            </w:r>
          </w:p>
        </w:tc>
        <w:tc>
          <w:tcPr>
            <w:tcW w:w="1429" w:type="pct"/>
            <w:noWrap w:val="0"/>
            <w:vAlign w:val="center"/>
          </w:tcPr>
          <w:p w14:paraId="2D4E753B">
            <w:pPr>
              <w:autoSpaceDE w:val="0"/>
              <w:autoSpaceDN w:val="0"/>
              <w:adjustRightInd w:val="0"/>
              <w:jc w:val="center"/>
              <w:rPr>
                <w:rFonts w:hint="eastAsia" w:ascii="仿宋" w:hAnsi="仿宋" w:eastAsia="仿宋" w:cs="仿宋"/>
                <w:kern w:val="0"/>
                <w:lang w:val="en-US" w:eastAsia="zh-CN"/>
              </w:rPr>
            </w:pPr>
            <w:r>
              <w:rPr>
                <w:rFonts w:hint="eastAsia" w:ascii="仿宋" w:hAnsi="仿宋" w:eastAsia="仿宋" w:cs="仿宋"/>
                <w:kern w:val="0"/>
                <w:lang w:val="en-US" w:eastAsia="zh-CN"/>
              </w:rPr>
              <w:t>100分</w:t>
            </w:r>
          </w:p>
        </w:tc>
      </w:tr>
    </w:tbl>
    <w:p w14:paraId="5997E351">
      <w:pPr>
        <w:pStyle w:val="2"/>
        <w:rPr>
          <w:rFonts w:hint="eastAsia"/>
        </w:rPr>
      </w:pPr>
    </w:p>
    <w:p w14:paraId="02BC7FF4">
      <w:pPr>
        <w:pStyle w:val="2"/>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价格评审：</w:t>
      </w:r>
      <w:r>
        <w:rPr>
          <w:rFonts w:hint="eastAsia" w:asciiTheme="minorEastAsia" w:hAnsiTheme="minorEastAsia" w:eastAsiaTheme="minorEastAsia" w:cstheme="minorEastAsia"/>
          <w:sz w:val="21"/>
          <w:szCs w:val="21"/>
        </w:rPr>
        <w:t>采用低价优先法计算，即满足招标文件要求且投标价格最低的投标报价为评标基准价，其价格分为满分。</w:t>
      </w:r>
    </w:p>
    <w:p w14:paraId="1223D96A">
      <w:pPr>
        <w:rPr>
          <w:rFonts w:hint="eastAsia" w:eastAsiaTheme="minorEastAsia"/>
          <w:lang w:val="en-US" w:eastAsia="zh-CN"/>
        </w:rPr>
      </w:pPr>
      <w:r>
        <w:rPr>
          <w:rFonts w:hint="eastAsia"/>
        </w:rPr>
        <w:t>评分标准（公式）：响应供应商价格得分＝（基准价（价格最</w:t>
      </w:r>
      <w:r>
        <w:rPr>
          <w:rFonts w:hint="eastAsia"/>
          <w:lang w:val="en-US" w:eastAsia="zh-CN"/>
        </w:rPr>
        <w:t>低</w:t>
      </w:r>
      <w:r>
        <w:rPr>
          <w:rFonts w:hint="eastAsia"/>
        </w:rPr>
        <w:t>的报价）/</w:t>
      </w:r>
      <w:r>
        <w:rPr>
          <w:rFonts w:hint="eastAsia"/>
          <w:lang w:val="en-US" w:eastAsia="zh-CN"/>
        </w:rPr>
        <w:t xml:space="preserve"> </w:t>
      </w:r>
      <w:r>
        <w:rPr>
          <w:rFonts w:hint="eastAsia"/>
        </w:rPr>
        <w:t>响应供应商报价）×</w:t>
      </w:r>
      <w:r>
        <w:rPr>
          <w:rFonts w:hint="eastAsia"/>
          <w:lang w:val="en-US" w:eastAsia="zh-CN"/>
        </w:rPr>
        <w:t>20</w:t>
      </w:r>
      <w:r>
        <w:rPr>
          <w:rFonts w:hint="eastAsia"/>
        </w:rPr>
        <w:t>权重</w:t>
      </w:r>
      <w:r>
        <w:rPr>
          <w:rFonts w:hint="eastAsia"/>
          <w:lang w:eastAsia="zh-CN"/>
        </w:rPr>
        <w:t>。</w:t>
      </w:r>
    </w:p>
    <w:p w14:paraId="3D0C81C4">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技术商务评审</w:t>
      </w:r>
      <w:r>
        <w:rPr>
          <w:rFonts w:hint="eastAsia" w:asciiTheme="minorEastAsia" w:hAnsiTheme="minorEastAsia" w:eastAsiaTheme="minorEastAsia" w:cstheme="minorEastAsia"/>
          <w:sz w:val="21"/>
          <w:szCs w:val="21"/>
          <w:lang w:eastAsia="zh-CN"/>
        </w:rPr>
        <w:t>：评委将依据响应供应商提供的响应文件进行审核，填写技术商务评审表，工作人员汇集每一评委的评分，将全部评委的评分进行算术平均，得出该响应供应商的得分(技术商务最终得分=响应供应商的得分*</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lang w:eastAsia="zh-CN"/>
        </w:rPr>
        <w:t>%)。</w:t>
      </w:r>
    </w:p>
    <w:p w14:paraId="3A36A6BD">
      <w:pPr>
        <w:pStyle w:val="2"/>
        <w:rPr>
          <w:rFonts w:hint="eastAsia" w:asciiTheme="minorEastAsia" w:hAnsiTheme="minorEastAsia" w:eastAsiaTheme="minorEastAsia" w:cstheme="minorEastAsia"/>
          <w:sz w:val="21"/>
          <w:szCs w:val="21"/>
          <w:lang w:eastAsia="zh-CN"/>
        </w:rPr>
      </w:pPr>
    </w:p>
    <w:tbl>
      <w:tblPr>
        <w:tblStyle w:val="7"/>
        <w:tblpPr w:leftFromText="180" w:rightFromText="180" w:vertAnchor="text" w:horzAnchor="page" w:tblpX="1829" w:tblpY="120"/>
        <w:tblOverlap w:val="never"/>
        <w:tblW w:w="4984"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57" w:type="dxa"/>
          <w:left w:w="30" w:type="dxa"/>
          <w:bottom w:w="57" w:type="dxa"/>
          <w:right w:w="30" w:type="dxa"/>
        </w:tblCellMar>
      </w:tblPr>
      <w:tblGrid>
        <w:gridCol w:w="705"/>
        <w:gridCol w:w="1515"/>
        <w:gridCol w:w="930"/>
        <w:gridCol w:w="3915"/>
        <w:gridCol w:w="1275"/>
      </w:tblGrid>
      <w:tr w14:paraId="7F6116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92" w:hRule="atLeast"/>
        </w:trPr>
        <w:tc>
          <w:tcPr>
            <w:tcW w:w="422" w:type="pct"/>
            <w:noWrap w:val="0"/>
            <w:vAlign w:val="center"/>
          </w:tcPr>
          <w:p w14:paraId="4334C931">
            <w:pPr>
              <w:autoSpaceDE w:val="0"/>
              <w:autoSpaceDN w:val="0"/>
              <w:adjustRightInd w:val="0"/>
              <w:jc w:val="center"/>
              <w:rPr>
                <w:rFonts w:hint="eastAsia" w:ascii="仿宋" w:hAnsi="仿宋" w:eastAsia="仿宋" w:cs="仿宋"/>
                <w:kern w:val="0"/>
                <w:szCs w:val="21"/>
                <w:lang w:val="zh-CN" w:eastAsia="zh-CN"/>
              </w:rPr>
            </w:pPr>
            <w:r>
              <w:rPr>
                <w:rFonts w:hint="eastAsia" w:ascii="仿宋" w:hAnsi="仿宋" w:eastAsia="仿宋" w:cs="仿宋"/>
                <w:kern w:val="0"/>
                <w:szCs w:val="21"/>
                <w:lang w:val="en-US" w:eastAsia="zh-CN"/>
              </w:rPr>
              <w:t>序号</w:t>
            </w:r>
          </w:p>
        </w:tc>
        <w:tc>
          <w:tcPr>
            <w:tcW w:w="908" w:type="pct"/>
            <w:noWrap w:val="0"/>
            <w:vAlign w:val="center"/>
          </w:tcPr>
          <w:p w14:paraId="2E885B22">
            <w:pPr>
              <w:autoSpaceDE w:val="0"/>
              <w:autoSpaceDN w:val="0"/>
              <w:adjustRightInd w:val="0"/>
              <w:jc w:val="center"/>
              <w:rPr>
                <w:rFonts w:hint="default" w:ascii="仿宋" w:hAnsi="仿宋" w:eastAsia="仿宋" w:cs="仿宋"/>
                <w:kern w:val="0"/>
                <w:szCs w:val="21"/>
                <w:lang w:val="en-US" w:eastAsia="zh-CN"/>
              </w:rPr>
            </w:pPr>
            <w:r>
              <w:rPr>
                <w:rFonts w:hint="eastAsia" w:ascii="仿宋" w:hAnsi="仿宋" w:eastAsia="仿宋" w:cs="仿宋"/>
                <w:bCs/>
                <w:szCs w:val="21"/>
                <w:lang w:val="en-US" w:eastAsia="zh-CN"/>
              </w:rPr>
              <w:t>评审项目</w:t>
            </w:r>
          </w:p>
        </w:tc>
        <w:tc>
          <w:tcPr>
            <w:tcW w:w="557" w:type="pct"/>
            <w:noWrap w:val="0"/>
            <w:vAlign w:val="center"/>
          </w:tcPr>
          <w:p w14:paraId="4F27727C">
            <w:pPr>
              <w:autoSpaceDE w:val="0"/>
              <w:autoSpaceDN w:val="0"/>
              <w:adjustRightInd w:val="0"/>
              <w:jc w:val="center"/>
              <w:rPr>
                <w:rFonts w:hint="eastAsia" w:ascii="仿宋" w:hAnsi="仿宋" w:eastAsia="仿宋" w:cs="仿宋"/>
                <w:bCs/>
                <w:szCs w:val="21"/>
              </w:rPr>
            </w:pPr>
            <w:r>
              <w:rPr>
                <w:rFonts w:hint="eastAsia" w:ascii="仿宋" w:hAnsi="仿宋" w:eastAsia="仿宋" w:cs="仿宋"/>
                <w:bCs/>
                <w:szCs w:val="21"/>
                <w:lang w:val="en-US" w:eastAsia="zh-CN"/>
              </w:rPr>
              <w:t>分数</w:t>
            </w:r>
          </w:p>
        </w:tc>
        <w:tc>
          <w:tcPr>
            <w:tcW w:w="2347" w:type="pct"/>
            <w:noWrap w:val="0"/>
            <w:vAlign w:val="center"/>
          </w:tcPr>
          <w:p w14:paraId="5F98FA2D">
            <w:pPr>
              <w:autoSpaceDE w:val="0"/>
              <w:autoSpaceDN w:val="0"/>
              <w:adjustRightInd w:val="0"/>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评审内容</w:t>
            </w:r>
          </w:p>
        </w:tc>
        <w:tc>
          <w:tcPr>
            <w:tcW w:w="764" w:type="pct"/>
            <w:noWrap w:val="0"/>
            <w:vAlign w:val="center"/>
          </w:tcPr>
          <w:p w14:paraId="1AB04607">
            <w:pPr>
              <w:autoSpaceDE w:val="0"/>
              <w:autoSpaceDN w:val="0"/>
              <w:adjustRightInd w:val="0"/>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自评分</w:t>
            </w:r>
          </w:p>
        </w:tc>
      </w:tr>
      <w:tr w14:paraId="7C7A38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422" w:type="pct"/>
            <w:noWrap w:val="0"/>
            <w:vAlign w:val="center"/>
          </w:tcPr>
          <w:p w14:paraId="5E2539B4">
            <w:pPr>
              <w:autoSpaceDE w:val="0"/>
              <w:autoSpaceDN w:val="0"/>
              <w:adjustRightIn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w:t>
            </w:r>
          </w:p>
        </w:tc>
        <w:tc>
          <w:tcPr>
            <w:tcW w:w="908" w:type="pct"/>
            <w:noWrap w:val="0"/>
            <w:vAlign w:val="center"/>
          </w:tcPr>
          <w:p w14:paraId="46AF934B">
            <w:pPr>
              <w:autoSpaceDE w:val="0"/>
              <w:autoSpaceDN w:val="0"/>
              <w:adjustRightInd w:val="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2"/>
                <w:szCs w:val="22"/>
                <w:highlight w:val="none"/>
              </w:rPr>
              <w:t>项目实施方案</w:t>
            </w:r>
          </w:p>
        </w:tc>
        <w:tc>
          <w:tcPr>
            <w:tcW w:w="557" w:type="pct"/>
            <w:noWrap w:val="0"/>
            <w:vAlign w:val="center"/>
          </w:tcPr>
          <w:p w14:paraId="12D69836">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40分</w:t>
            </w:r>
          </w:p>
        </w:tc>
        <w:tc>
          <w:tcPr>
            <w:tcW w:w="2347" w:type="pct"/>
            <w:noWrap w:val="0"/>
            <w:vAlign w:val="center"/>
          </w:tcPr>
          <w:p w14:paraId="3E8CCBE8">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（一）评分内容：</w:t>
            </w:r>
          </w:p>
          <w:p w14:paraId="7F0E8E13">
            <w:pPr>
              <w:keepNext w:val="0"/>
              <w:keepLines w:val="0"/>
              <w:pageBreakBefore w:val="0"/>
              <w:widowControl/>
              <w:kinsoku/>
              <w:wordWrap w:val="0"/>
              <w:overflowPunct/>
              <w:topLinePunct w:val="0"/>
              <w:autoSpaceDE/>
              <w:autoSpaceDN/>
              <w:bidi w:val="0"/>
              <w:adjustRightIn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投标人提供的方案满足招标文件要求，并结合采购人的项目要求提供具体项目实施方案</w:t>
            </w:r>
            <w:r>
              <w:rPr>
                <w:rFonts w:hint="eastAsia" w:ascii="宋体" w:hAnsi="宋体" w:eastAsia="宋体" w:cs="宋体"/>
                <w:color w:val="auto"/>
                <w:sz w:val="22"/>
                <w:szCs w:val="22"/>
                <w:highlight w:val="none"/>
                <w:lang w:eastAsia="zh-CN"/>
              </w:rPr>
              <w:t>。</w:t>
            </w:r>
          </w:p>
          <w:p w14:paraId="17AF30B8">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方案内容应包含：</w:t>
            </w:r>
          </w:p>
          <w:p w14:paraId="58348134">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1.项目概述；</w:t>
            </w:r>
          </w:p>
          <w:p w14:paraId="287BB649">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2.服务内容；</w:t>
            </w:r>
          </w:p>
          <w:p w14:paraId="3708D1AF">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（二）评分依据：</w:t>
            </w:r>
          </w:p>
          <w:p w14:paraId="3A594F1C">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专家根据内容的合理性进行评分：</w:t>
            </w:r>
          </w:p>
          <w:p w14:paraId="3965456C">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优评分标准：方案内容完整全面，实施方案高效、详细，具有科学合理的操作性，得</w:t>
            </w:r>
            <w:r>
              <w:rPr>
                <w:rFonts w:hint="eastAsia" w:ascii="宋体" w:hAnsi="宋体" w:eastAsia="宋体" w:cs="宋体"/>
                <w:color w:val="auto"/>
                <w:sz w:val="22"/>
                <w:szCs w:val="22"/>
                <w:highlight w:val="none"/>
                <w:lang w:val="en-US" w:eastAsia="zh-CN"/>
              </w:rPr>
              <w:t>40</w:t>
            </w:r>
            <w:r>
              <w:rPr>
                <w:rFonts w:hint="eastAsia" w:ascii="宋体" w:hAnsi="宋体" w:eastAsia="宋体" w:cs="宋体"/>
                <w:color w:val="auto"/>
                <w:sz w:val="22"/>
                <w:szCs w:val="22"/>
                <w:highlight w:val="none"/>
              </w:rPr>
              <w:t>分；</w:t>
            </w:r>
          </w:p>
          <w:p w14:paraId="7BDC7DC4">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良评分标准：方案内容较全面，实施方案较为高效详细，具有较为科学合理的操作性，得</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分；</w:t>
            </w:r>
          </w:p>
          <w:p w14:paraId="2A1B6AC4">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中评分标准：方案内容较全面，实施方案高效性及详细性一般，科学合理性和操作性一般，得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p w14:paraId="4D6D691C">
            <w:pPr>
              <w:keepNext w:val="0"/>
              <w:keepLines w:val="0"/>
              <w:pageBreakBefore w:val="0"/>
              <w:widowControl/>
              <w:kinsoku/>
              <w:wordWrap w:val="0"/>
              <w:overflowPunct/>
              <w:topLinePunct w:val="0"/>
              <w:autoSpaceDE/>
              <w:autoSpaceDN/>
              <w:bidi w:val="0"/>
              <w:adjustRightInd/>
              <w:spacing w:line="36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差：方案内容不全面，实施方案无详细性，内容无合理性或操作性，得0分。</w:t>
            </w:r>
          </w:p>
          <w:p w14:paraId="6A6A0956">
            <w:pPr>
              <w:autoSpaceDE w:val="0"/>
              <w:autoSpaceDN w:val="0"/>
              <w:adjustRightInd w:val="0"/>
              <w:jc w:val="left"/>
              <w:rPr>
                <w:rFonts w:hint="eastAsia" w:ascii="仿宋" w:hAnsi="仿宋" w:eastAsia="仿宋" w:cs="仿宋"/>
                <w:kern w:val="0"/>
                <w:lang w:val="en-US" w:eastAsia="zh-CN"/>
              </w:rPr>
            </w:pPr>
            <w:r>
              <w:rPr>
                <w:rFonts w:hint="eastAsia" w:ascii="宋体" w:hAnsi="宋体" w:eastAsia="宋体" w:cs="宋体"/>
                <w:color w:val="auto"/>
                <w:sz w:val="22"/>
                <w:szCs w:val="22"/>
                <w:highlight w:val="none"/>
              </w:rPr>
              <w:t>如评审为差，评审专家须书面说明理由，并记录在档。</w:t>
            </w:r>
          </w:p>
        </w:tc>
        <w:tc>
          <w:tcPr>
            <w:tcW w:w="764" w:type="pct"/>
            <w:noWrap w:val="0"/>
            <w:vAlign w:val="center"/>
          </w:tcPr>
          <w:p w14:paraId="34AE87A8">
            <w:pPr>
              <w:autoSpaceDE w:val="0"/>
              <w:autoSpaceDN w:val="0"/>
              <w:adjustRightInd w:val="0"/>
              <w:jc w:val="center"/>
              <w:rPr>
                <w:rFonts w:hint="eastAsia" w:ascii="仿宋" w:hAnsi="仿宋" w:eastAsia="仿宋" w:cs="仿宋"/>
                <w:kern w:val="0"/>
                <w:lang w:val="en-US" w:eastAsia="zh-CN"/>
              </w:rPr>
            </w:pPr>
          </w:p>
        </w:tc>
      </w:tr>
      <w:tr w14:paraId="45145D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422" w:type="pct"/>
            <w:noWrap w:val="0"/>
            <w:vAlign w:val="center"/>
          </w:tcPr>
          <w:p w14:paraId="6F4F2350">
            <w:pPr>
              <w:autoSpaceDE w:val="0"/>
              <w:autoSpaceDN w:val="0"/>
              <w:adjustRightInd w:val="0"/>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2</w:t>
            </w:r>
          </w:p>
        </w:tc>
        <w:tc>
          <w:tcPr>
            <w:tcW w:w="908" w:type="pct"/>
            <w:noWrap w:val="0"/>
            <w:vAlign w:val="center"/>
          </w:tcPr>
          <w:p w14:paraId="6633D3C0">
            <w:pPr>
              <w:autoSpaceDE w:val="0"/>
              <w:autoSpaceDN w:val="0"/>
              <w:adjustRightInd w:val="0"/>
              <w:jc w:val="center"/>
              <w:rPr>
                <w:rFonts w:hint="eastAsia" w:asciiTheme="minorEastAsia" w:hAnsiTheme="minorEastAsia" w:eastAsiaTheme="minorEastAsia" w:cstheme="minorEastAsia"/>
                <w:sz w:val="21"/>
                <w:szCs w:val="21"/>
                <w:lang w:val="en-US" w:eastAsia="zh-CN"/>
              </w:rPr>
            </w:pPr>
            <w:r>
              <w:rPr>
                <w:rFonts w:hint="eastAsia" w:ascii="宋体" w:hAnsi="宋体" w:eastAsia="宋体" w:cs="宋体"/>
                <w:sz w:val="22"/>
                <w:szCs w:val="22"/>
                <w:highlight w:val="none"/>
              </w:rPr>
              <w:t>工作计划</w:t>
            </w:r>
          </w:p>
        </w:tc>
        <w:tc>
          <w:tcPr>
            <w:tcW w:w="557" w:type="pct"/>
            <w:noWrap w:val="0"/>
            <w:vAlign w:val="center"/>
          </w:tcPr>
          <w:p w14:paraId="69EB7886">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15分</w:t>
            </w:r>
          </w:p>
        </w:tc>
        <w:tc>
          <w:tcPr>
            <w:tcW w:w="2347" w:type="pct"/>
            <w:noWrap w:val="0"/>
            <w:vAlign w:val="center"/>
          </w:tcPr>
          <w:p w14:paraId="5B83857D">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★（一）评分内容：</w:t>
            </w:r>
          </w:p>
          <w:p w14:paraId="294827BC">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投标人针对本项目制定详细的项目工作计划，计划内容应包含：</w:t>
            </w:r>
          </w:p>
          <w:p w14:paraId="5539D174">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1.品牌诊断工作计划；</w:t>
            </w:r>
          </w:p>
          <w:p w14:paraId="1FCD82AA">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2.战略品牌管理系统性培训；</w:t>
            </w:r>
          </w:p>
          <w:p w14:paraId="7A01582E">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3.品牌定位评估及优化；</w:t>
            </w:r>
          </w:p>
          <w:p w14:paraId="20161C50">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4.品牌视觉形象优化；</w:t>
            </w:r>
          </w:p>
          <w:p w14:paraId="42DD0C7C">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5.品牌宣传能力优化。</w:t>
            </w:r>
          </w:p>
          <w:p w14:paraId="6ECF9B43">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（二）评分依据：</w:t>
            </w:r>
          </w:p>
          <w:p w14:paraId="09497D18">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专家根据内容的合理性进行评分：</w:t>
            </w:r>
          </w:p>
          <w:p w14:paraId="017B6936">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优评分标准：计划内容完整全面，流程设计详细具体，具有科学合理的操作性，得15分；</w:t>
            </w:r>
          </w:p>
          <w:p w14:paraId="477E6D61">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良评分标准：计划内容较全面，流程设计较为详细具体，具有较为科学合理的操作性，得 8分；</w:t>
            </w:r>
          </w:p>
          <w:p w14:paraId="5C0545AA">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中评分标准：计划内容全面性一般，流程设计具体性一般，科学合理性和操作性一般，得6分；</w:t>
            </w:r>
          </w:p>
          <w:p w14:paraId="2DCA3C11">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差评分标准：计划内容不全面，流程设计具体性差，内容无合理性或操作性，得0分。</w:t>
            </w:r>
          </w:p>
          <w:p w14:paraId="7617C646">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如评审为差，评审专家须书面说明理由，并记录在档。</w:t>
            </w:r>
          </w:p>
        </w:tc>
        <w:tc>
          <w:tcPr>
            <w:tcW w:w="764" w:type="pct"/>
            <w:noWrap w:val="0"/>
            <w:vAlign w:val="center"/>
          </w:tcPr>
          <w:p w14:paraId="70649FB9">
            <w:pPr>
              <w:autoSpaceDE w:val="0"/>
              <w:autoSpaceDN w:val="0"/>
              <w:adjustRightInd w:val="0"/>
              <w:jc w:val="center"/>
              <w:rPr>
                <w:rFonts w:hint="eastAsia" w:ascii="仿宋" w:hAnsi="仿宋" w:eastAsia="仿宋" w:cs="仿宋"/>
                <w:kern w:val="0"/>
                <w:lang w:val="en-US" w:eastAsia="zh-CN"/>
              </w:rPr>
            </w:pPr>
          </w:p>
        </w:tc>
      </w:tr>
      <w:tr w14:paraId="1D5829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422" w:type="pct"/>
            <w:noWrap w:val="0"/>
            <w:vAlign w:val="center"/>
          </w:tcPr>
          <w:p w14:paraId="1B1FB782">
            <w:pPr>
              <w:autoSpaceDE w:val="0"/>
              <w:autoSpaceDN w:val="0"/>
              <w:adjustRightIn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3</w:t>
            </w:r>
          </w:p>
        </w:tc>
        <w:tc>
          <w:tcPr>
            <w:tcW w:w="908" w:type="pct"/>
            <w:noWrap w:val="0"/>
            <w:vAlign w:val="center"/>
          </w:tcPr>
          <w:p w14:paraId="7BB89AE9">
            <w:pPr>
              <w:autoSpaceDE w:val="0"/>
              <w:autoSpaceDN w:val="0"/>
              <w:adjustRightInd w:val="0"/>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拟安排的项目负责人</w:t>
            </w:r>
            <w:r>
              <w:rPr>
                <w:rFonts w:hint="eastAsia" w:ascii="宋体" w:hAnsi="宋体" w:eastAsia="宋体" w:cs="宋体"/>
                <w:sz w:val="22"/>
                <w:szCs w:val="22"/>
                <w:highlight w:val="none"/>
                <w:lang w:val="en-US" w:eastAsia="zh-CN"/>
              </w:rPr>
              <w:t>情况（仅限1人）</w:t>
            </w:r>
          </w:p>
        </w:tc>
        <w:tc>
          <w:tcPr>
            <w:tcW w:w="557" w:type="pct"/>
            <w:noWrap w:val="0"/>
            <w:vAlign w:val="center"/>
          </w:tcPr>
          <w:p w14:paraId="60945258">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10分</w:t>
            </w:r>
          </w:p>
        </w:tc>
        <w:tc>
          <w:tcPr>
            <w:tcW w:w="2347" w:type="pct"/>
            <w:noWrap w:val="0"/>
            <w:vAlign w:val="center"/>
          </w:tcPr>
          <w:p w14:paraId="581A9E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（一）评分内容：</w:t>
            </w:r>
          </w:p>
          <w:p w14:paraId="69ADA7D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拟安排的项目负责人应具有管理学类专业职称或学历，具体如下：</w:t>
            </w:r>
          </w:p>
          <w:p w14:paraId="70252B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管理类正教授职称或国际注册管理咨询师（CMC）得10分；</w:t>
            </w:r>
          </w:p>
          <w:p w14:paraId="4F8BB6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管理类副教授或博士研究生学历得5分；</w:t>
            </w:r>
          </w:p>
          <w:p w14:paraId="354017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管理类/新闻类硕士研究生学历得2分；</w:t>
            </w:r>
          </w:p>
          <w:p w14:paraId="7F99E34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firstLine="440" w:firstLineChars="20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本项最高得10分。</w:t>
            </w:r>
          </w:p>
          <w:p w14:paraId="749DC8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（二）评分依据：</w:t>
            </w:r>
          </w:p>
          <w:p w14:paraId="5EE0CB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要求提供项目负责人通过投标人缴纳的近三个月的任意一个月的社保证明作为本单位员工的证明依据。若供应商成立不足三个月的，需提供成立情况说明函（格式自拟），无需提供相关人员社保，亦可得分；若为退休返聘人员，需提供返聘合同关键页及说明函（格式自拟），无需提供相关人员社保，亦可得分。</w:t>
            </w:r>
          </w:p>
          <w:p w14:paraId="6C5B24F1">
            <w:pPr>
              <w:widowControl/>
              <w:numPr>
                <w:ilvl w:val="0"/>
                <w:numId w:val="0"/>
              </w:numPr>
              <w:wordWrap w:val="0"/>
              <w:spacing w:before="0" w:after="0" w:line="360" w:lineRule="exact"/>
              <w:jc w:val="both"/>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w:t>
            </w:r>
            <w:r>
              <w:rPr>
                <w:rFonts w:hint="default" w:ascii="宋体" w:hAnsi="宋体" w:eastAsia="宋体" w:cs="宋体"/>
                <w:kern w:val="0"/>
                <w:sz w:val="22"/>
                <w:szCs w:val="22"/>
                <w:lang w:val="en-US" w:eastAsia="zh-CN"/>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依据。</w:t>
            </w:r>
          </w:p>
          <w:p w14:paraId="53358C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0"/>
                <w:sz w:val="22"/>
                <w:szCs w:val="22"/>
                <w:lang w:val="en-US" w:eastAsia="zh-CN"/>
              </w:rPr>
            </w:pPr>
            <w:r>
              <w:rPr>
                <w:rFonts w:hint="default" w:ascii="宋体" w:hAnsi="宋体" w:eastAsia="宋体" w:cs="宋体"/>
                <w:kern w:val="0"/>
                <w:sz w:val="22"/>
                <w:szCs w:val="22"/>
                <w:lang w:val="en-US" w:eastAsia="zh-CN"/>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14:paraId="21A9BA25">
            <w:pPr>
              <w:autoSpaceDE w:val="0"/>
              <w:autoSpaceDN w:val="0"/>
              <w:adjustRightInd w:val="0"/>
              <w:jc w:val="left"/>
              <w:rPr>
                <w:rFonts w:hint="eastAsia" w:ascii="宋体" w:hAnsi="宋体" w:eastAsia="宋体" w:cs="宋体"/>
                <w:color w:val="auto"/>
                <w:sz w:val="22"/>
                <w:szCs w:val="22"/>
                <w:highlight w:val="none"/>
              </w:rPr>
            </w:pPr>
            <w:r>
              <w:rPr>
                <w:rFonts w:hint="default" w:ascii="宋体" w:hAnsi="宋体" w:eastAsia="宋体" w:cs="宋体"/>
                <w:kern w:val="0"/>
                <w:sz w:val="22"/>
                <w:szCs w:val="22"/>
                <w:lang w:val="en-US" w:eastAsia="zh-CN"/>
              </w:rPr>
              <w:t>备注：以上资料均要求提供扫描件，原件备查，评分中出现无证明资料或证书过期或专家无法凭所提供资料判断是否得分的情况，一律不得分。</w:t>
            </w:r>
          </w:p>
        </w:tc>
        <w:tc>
          <w:tcPr>
            <w:tcW w:w="764" w:type="pct"/>
            <w:noWrap w:val="0"/>
            <w:vAlign w:val="center"/>
          </w:tcPr>
          <w:p w14:paraId="2CF3145B">
            <w:pPr>
              <w:autoSpaceDE w:val="0"/>
              <w:autoSpaceDN w:val="0"/>
              <w:adjustRightInd w:val="0"/>
              <w:jc w:val="center"/>
              <w:rPr>
                <w:rFonts w:hint="eastAsia" w:ascii="仿宋" w:hAnsi="仿宋" w:eastAsia="仿宋" w:cs="仿宋"/>
                <w:kern w:val="0"/>
                <w:lang w:val="en-US" w:eastAsia="zh-CN"/>
              </w:rPr>
            </w:pPr>
          </w:p>
        </w:tc>
      </w:tr>
      <w:tr w14:paraId="134BF1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422" w:type="pct"/>
            <w:noWrap w:val="0"/>
            <w:vAlign w:val="center"/>
          </w:tcPr>
          <w:p w14:paraId="50764C00">
            <w:pPr>
              <w:autoSpaceDE w:val="0"/>
              <w:autoSpaceDN w:val="0"/>
              <w:adjustRightIn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w:t>
            </w:r>
          </w:p>
        </w:tc>
        <w:tc>
          <w:tcPr>
            <w:tcW w:w="908" w:type="pct"/>
            <w:noWrap w:val="0"/>
            <w:vAlign w:val="center"/>
          </w:tcPr>
          <w:p w14:paraId="4697CCB6">
            <w:pPr>
              <w:autoSpaceDE w:val="0"/>
              <w:autoSpaceDN w:val="0"/>
              <w:adjustRightInd w:val="0"/>
              <w:jc w:val="center"/>
              <w:rPr>
                <w:rFonts w:hint="eastAsia" w:ascii="宋体" w:hAnsi="宋体" w:eastAsia="宋体" w:cs="宋体"/>
                <w:sz w:val="22"/>
                <w:szCs w:val="22"/>
                <w:highlight w:val="none"/>
              </w:rPr>
            </w:pPr>
            <w:r>
              <w:rPr>
                <w:rFonts w:hint="eastAsia" w:ascii="宋体" w:hAnsi="宋体" w:eastAsia="宋体" w:cs="宋体"/>
                <w:color w:val="auto"/>
                <w:sz w:val="22"/>
                <w:szCs w:val="22"/>
                <w:highlight w:val="none"/>
              </w:rPr>
              <w:t>拟安排的项目团队成员情况（项目负责人除外）</w:t>
            </w:r>
          </w:p>
        </w:tc>
        <w:tc>
          <w:tcPr>
            <w:tcW w:w="557" w:type="pct"/>
            <w:noWrap w:val="0"/>
            <w:vAlign w:val="center"/>
          </w:tcPr>
          <w:p w14:paraId="57889A47">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7分</w:t>
            </w:r>
          </w:p>
        </w:tc>
        <w:tc>
          <w:tcPr>
            <w:tcW w:w="2347" w:type="pct"/>
            <w:noWrap w:val="0"/>
            <w:vAlign w:val="center"/>
          </w:tcPr>
          <w:p w14:paraId="0BE4AFE2">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（一）评分内容：</w:t>
            </w:r>
          </w:p>
          <w:p w14:paraId="23CD6401">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团队人员（不含项目负责人）具有国际注册管理咨询师（CMC）证书的，每个计5分，最多计5分；因开展品牌管理咨询类项目需要涉及到大量的现场及远程沟通交流，团队人员具备心理学、社会学、新闻学类硕士以上学历者，每个计2分，最多计2分。</w:t>
            </w:r>
          </w:p>
          <w:p w14:paraId="02CCF9AC">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（二）评分依据：</w:t>
            </w:r>
          </w:p>
          <w:p w14:paraId="404340B4">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要求提供上述人员通过投标人缴纳的近三个月的任意一个月的社保证明作为本单位员工的证明依据。若供应商成立不足三个月的，需提供成立情况说明函（格式自拟），无需提供相关人员社保，亦可得分；若为退休返聘人员，需提供返聘合同关键页及说明函（格式自拟），无需提供相关人员社保，亦可得分。</w:t>
            </w:r>
          </w:p>
          <w:p w14:paraId="7267AB01">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依据。</w:t>
            </w:r>
          </w:p>
          <w:p w14:paraId="090A28D2">
            <w:pPr>
              <w:autoSpaceDE w:val="0"/>
              <w:autoSpaceDN w:val="0"/>
              <w:adjustRightInd w:val="0"/>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海外留学（含港澳台）人员学历无法通过学信网站查询的，应当提供教育部留学服务中心出具的国外学历学位认证证书以及教育部留学服务中心官网查询截图。若证明文件为其它语言，必须附中文译文，以中文译文为准。</w:t>
            </w:r>
          </w:p>
          <w:p w14:paraId="7D569696">
            <w:pPr>
              <w:autoSpaceDE w:val="0"/>
              <w:autoSpaceDN w:val="0"/>
              <w:adjustRightInd w:val="0"/>
              <w:jc w:val="left"/>
              <w:rPr>
                <w:rFonts w:hint="default" w:ascii="宋体" w:hAnsi="宋体" w:eastAsia="宋体" w:cs="宋体"/>
                <w:kern w:val="0"/>
                <w:sz w:val="22"/>
                <w:szCs w:val="22"/>
                <w:lang w:val="en-US" w:eastAsia="zh-CN"/>
              </w:rPr>
            </w:pPr>
            <w:r>
              <w:rPr>
                <w:rFonts w:hint="eastAsia" w:ascii="宋体" w:hAnsi="宋体" w:eastAsia="宋体" w:cs="宋体"/>
                <w:color w:val="auto"/>
                <w:kern w:val="0"/>
                <w:sz w:val="22"/>
                <w:szCs w:val="22"/>
                <w:lang w:val="en-US" w:eastAsia="zh-CN"/>
              </w:rPr>
              <w:t>备注：以上资料均要求提供扫描件，原件备查，评分中出现无证明资料或证书过期或专家无法凭所提供资料判断是否得分的情况，一律不得分。</w:t>
            </w:r>
          </w:p>
        </w:tc>
        <w:tc>
          <w:tcPr>
            <w:tcW w:w="764" w:type="pct"/>
            <w:noWrap w:val="0"/>
            <w:vAlign w:val="center"/>
          </w:tcPr>
          <w:p w14:paraId="7DCE4039">
            <w:pPr>
              <w:autoSpaceDE w:val="0"/>
              <w:autoSpaceDN w:val="0"/>
              <w:adjustRightInd w:val="0"/>
              <w:jc w:val="center"/>
              <w:rPr>
                <w:rFonts w:hint="eastAsia" w:ascii="仿宋" w:hAnsi="仿宋" w:eastAsia="仿宋" w:cs="仿宋"/>
                <w:kern w:val="0"/>
                <w:lang w:val="en-US" w:eastAsia="zh-CN"/>
              </w:rPr>
            </w:pPr>
          </w:p>
        </w:tc>
      </w:tr>
      <w:tr w14:paraId="2BC9C5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422" w:type="pct"/>
            <w:noWrap w:val="0"/>
            <w:vAlign w:val="center"/>
          </w:tcPr>
          <w:p w14:paraId="29278D0A">
            <w:pPr>
              <w:autoSpaceDE w:val="0"/>
              <w:autoSpaceDN w:val="0"/>
              <w:adjustRightInd w:val="0"/>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5</w:t>
            </w:r>
          </w:p>
        </w:tc>
        <w:tc>
          <w:tcPr>
            <w:tcW w:w="908" w:type="pct"/>
            <w:noWrap w:val="0"/>
            <w:vAlign w:val="center"/>
          </w:tcPr>
          <w:p w14:paraId="47514ED9">
            <w:pPr>
              <w:autoSpaceDE w:val="0"/>
              <w:autoSpaceDN w:val="0"/>
              <w:adjustRightInd w:val="0"/>
              <w:jc w:val="center"/>
              <w:rPr>
                <w:rFonts w:hint="eastAsia" w:ascii="宋体" w:hAnsi="宋体" w:eastAsia="宋体" w:cs="宋体"/>
                <w:color w:val="auto"/>
                <w:sz w:val="22"/>
                <w:szCs w:val="22"/>
                <w:highlight w:val="none"/>
              </w:rPr>
            </w:pPr>
            <w:r>
              <w:rPr>
                <w:rFonts w:hint="eastAsia" w:ascii="宋体" w:hAnsi="宋体" w:cs="宋体"/>
                <w:sz w:val="22"/>
                <w:szCs w:val="22"/>
              </w:rPr>
              <w:t>公司资质荣誉</w:t>
            </w:r>
          </w:p>
        </w:tc>
        <w:tc>
          <w:tcPr>
            <w:tcW w:w="557" w:type="pct"/>
            <w:noWrap w:val="0"/>
            <w:vAlign w:val="center"/>
          </w:tcPr>
          <w:p w14:paraId="56DFCB93">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8分</w:t>
            </w:r>
          </w:p>
        </w:tc>
        <w:tc>
          <w:tcPr>
            <w:tcW w:w="2347" w:type="pct"/>
            <w:noWrap w:val="0"/>
            <w:vAlign w:val="center"/>
          </w:tcPr>
          <w:p w14:paraId="308FDC0D">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（一）评分内容：</w:t>
            </w:r>
          </w:p>
          <w:p w14:paraId="4A289444">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负责本次项目实施的品牌咨询机构，自身</w:t>
            </w:r>
            <w:r>
              <w:rPr>
                <w:rFonts w:hint="eastAsia" w:ascii="宋体" w:hAnsi="宋体" w:eastAsia="宋体" w:cs="宋体"/>
                <w:color w:val="auto"/>
                <w:sz w:val="22"/>
                <w:szCs w:val="22"/>
                <w:highlight w:val="none"/>
              </w:rPr>
              <w:t>入</w:t>
            </w:r>
            <w:r>
              <w:rPr>
                <w:rFonts w:hint="eastAsia" w:ascii="宋体" w:hAnsi="宋体" w:eastAsia="宋体" w:cs="宋体"/>
                <w:color w:val="auto"/>
                <w:sz w:val="22"/>
                <w:szCs w:val="22"/>
                <w:highlight w:val="none"/>
                <w:lang w:val="en-US" w:eastAsia="zh-CN"/>
              </w:rPr>
              <w:t>选</w:t>
            </w:r>
            <w:r>
              <w:rPr>
                <w:rFonts w:hint="eastAsia" w:ascii="宋体" w:hAnsi="宋体" w:eastAsia="宋体" w:cs="宋体"/>
                <w:color w:val="auto"/>
                <w:sz w:val="22"/>
                <w:szCs w:val="22"/>
                <w:highlight w:val="none"/>
              </w:rPr>
              <w:t>中国企业品牌库，得</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分；</w:t>
            </w:r>
          </w:p>
          <w:p w14:paraId="0DA3F1EA">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入选省级卫生经济学会医院品牌建设专业委员会副主任委员单位的品牌咨询机构，得4分；</w:t>
            </w:r>
          </w:p>
          <w:p w14:paraId="0147DFE0">
            <w:pPr>
              <w:keepNext w:val="0"/>
              <w:keepLines w:val="0"/>
              <w:pageBreakBefore w:val="0"/>
              <w:widowControl/>
              <w:kinsoku/>
              <w:wordWrap w:val="0"/>
              <w:overflowPunct/>
              <w:topLinePunct w:val="0"/>
              <w:autoSpaceDE/>
              <w:autoSpaceDN/>
              <w:bidi w:val="0"/>
              <w:adjustRightInd/>
              <w:snapToGrid/>
              <w:spacing w:line="360" w:lineRule="exact"/>
              <w:textAlignment w:val="auto"/>
              <w:rPr>
                <w:rFonts w:hint="default"/>
                <w:lang w:val="en-US" w:eastAsia="zh-CN"/>
              </w:rPr>
            </w:pPr>
            <w:r>
              <w:rPr>
                <w:rFonts w:hint="eastAsia" w:ascii="宋体" w:hAnsi="宋体" w:eastAsia="宋体" w:cs="宋体"/>
                <w:color w:val="auto"/>
                <w:sz w:val="22"/>
                <w:szCs w:val="22"/>
                <w:highlight w:val="none"/>
                <w:lang w:val="en-US" w:eastAsia="zh-CN"/>
              </w:rPr>
              <w:t>入选省级卫生经济学会医院品牌建设专业委员会常务委员单位的品牌咨询机构，得2分；</w:t>
            </w:r>
          </w:p>
          <w:p w14:paraId="3892329E">
            <w:pPr>
              <w:keepNext w:val="0"/>
              <w:keepLines w:val="0"/>
              <w:pageBreakBefore w:val="0"/>
              <w:widowControl/>
              <w:kinsoku/>
              <w:wordWrap w:val="0"/>
              <w:overflowPunct/>
              <w:topLinePunct w:val="0"/>
              <w:autoSpaceDE/>
              <w:autoSpaceDN/>
              <w:bidi w:val="0"/>
              <w:adjustRightInd/>
              <w:snapToGrid/>
              <w:spacing w:line="360" w:lineRule="exact"/>
              <w:textAlignment w:val="auto"/>
              <w:rPr>
                <w:rFonts w:hint="eastAsia" w:ascii="宋体" w:hAnsi="宋体"/>
                <w:sz w:val="22"/>
                <w:szCs w:val="22"/>
              </w:rPr>
            </w:pPr>
            <w:r>
              <w:rPr>
                <w:rFonts w:hint="eastAsia" w:ascii="宋体" w:hAnsi="宋体"/>
                <w:sz w:val="22"/>
                <w:szCs w:val="22"/>
              </w:rPr>
              <w:t>（二）评分依据：</w:t>
            </w:r>
          </w:p>
          <w:p w14:paraId="2F851A04">
            <w:pPr>
              <w:autoSpaceDE w:val="0"/>
              <w:autoSpaceDN w:val="0"/>
              <w:adjustRightInd w:val="0"/>
              <w:jc w:val="left"/>
              <w:rPr>
                <w:rFonts w:hint="eastAsia" w:ascii="宋体" w:hAnsi="宋体" w:eastAsia="宋体" w:cs="宋体"/>
                <w:color w:val="auto"/>
                <w:sz w:val="22"/>
                <w:szCs w:val="22"/>
                <w:highlight w:val="none"/>
              </w:rPr>
            </w:pPr>
            <w:r>
              <w:rPr>
                <w:rFonts w:hint="eastAsia" w:ascii="宋体" w:hAnsi="宋体"/>
                <w:sz w:val="22"/>
                <w:szCs w:val="22"/>
                <w:lang w:val="en-US" w:eastAsia="zh-CN"/>
              </w:rPr>
              <w:t>评审依据：提供相关证书扫描件或查询截图加盖供应商公章。</w:t>
            </w:r>
          </w:p>
        </w:tc>
        <w:tc>
          <w:tcPr>
            <w:tcW w:w="764" w:type="pct"/>
            <w:noWrap w:val="0"/>
            <w:vAlign w:val="center"/>
          </w:tcPr>
          <w:p w14:paraId="19A26BB0">
            <w:pPr>
              <w:autoSpaceDE w:val="0"/>
              <w:autoSpaceDN w:val="0"/>
              <w:adjustRightInd w:val="0"/>
              <w:jc w:val="center"/>
              <w:rPr>
                <w:rFonts w:hint="eastAsia" w:ascii="仿宋" w:hAnsi="仿宋" w:eastAsia="仿宋" w:cs="仿宋"/>
                <w:kern w:val="0"/>
                <w:lang w:val="en-US" w:eastAsia="zh-CN"/>
              </w:rPr>
            </w:pPr>
          </w:p>
        </w:tc>
      </w:tr>
      <w:tr w14:paraId="051F9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57" w:type="dxa"/>
            <w:left w:w="30" w:type="dxa"/>
            <w:bottom w:w="57" w:type="dxa"/>
            <w:right w:w="30" w:type="dxa"/>
          </w:tblCellMar>
        </w:tblPrEx>
        <w:trPr>
          <w:trHeight w:val="578" w:hRule="atLeast"/>
        </w:trPr>
        <w:tc>
          <w:tcPr>
            <w:tcW w:w="1330" w:type="pct"/>
            <w:gridSpan w:val="2"/>
            <w:noWrap w:val="0"/>
            <w:vAlign w:val="center"/>
          </w:tcPr>
          <w:p w14:paraId="35A6102D">
            <w:pPr>
              <w:autoSpaceDE w:val="0"/>
              <w:autoSpaceDN w:val="0"/>
              <w:adjustRightInd w:val="0"/>
              <w:jc w:val="center"/>
              <w:rPr>
                <w:rFonts w:hint="eastAsia" w:ascii="宋体" w:hAnsi="宋体" w:cs="宋体" w:eastAsiaTheme="minorEastAsia"/>
                <w:sz w:val="22"/>
                <w:szCs w:val="22"/>
                <w:lang w:val="en-US" w:eastAsia="zh-CN"/>
              </w:rPr>
            </w:pPr>
            <w:r>
              <w:rPr>
                <w:rFonts w:hint="eastAsia" w:ascii="宋体" w:hAnsi="宋体" w:cs="宋体"/>
                <w:sz w:val="22"/>
                <w:szCs w:val="22"/>
                <w:lang w:val="en-US" w:eastAsia="zh-CN"/>
              </w:rPr>
              <w:t>合计</w:t>
            </w:r>
          </w:p>
        </w:tc>
        <w:tc>
          <w:tcPr>
            <w:tcW w:w="557" w:type="pct"/>
            <w:noWrap w:val="0"/>
            <w:vAlign w:val="center"/>
          </w:tcPr>
          <w:p w14:paraId="6E46981C">
            <w:pPr>
              <w:autoSpaceDE w:val="0"/>
              <w:autoSpaceDN w:val="0"/>
              <w:adjustRightInd w:val="0"/>
              <w:jc w:val="center"/>
              <w:rPr>
                <w:rFonts w:hint="default" w:ascii="仿宋" w:hAnsi="仿宋" w:eastAsia="仿宋" w:cs="仿宋"/>
                <w:kern w:val="0"/>
                <w:lang w:val="en-US" w:eastAsia="zh-CN"/>
              </w:rPr>
            </w:pPr>
            <w:r>
              <w:rPr>
                <w:rFonts w:hint="eastAsia" w:ascii="仿宋" w:hAnsi="仿宋" w:eastAsia="仿宋" w:cs="仿宋"/>
                <w:kern w:val="0"/>
                <w:lang w:val="en-US" w:eastAsia="zh-CN"/>
              </w:rPr>
              <w:t>80分</w:t>
            </w:r>
          </w:p>
        </w:tc>
        <w:tc>
          <w:tcPr>
            <w:tcW w:w="2347" w:type="pct"/>
            <w:noWrap w:val="0"/>
            <w:vAlign w:val="center"/>
          </w:tcPr>
          <w:p w14:paraId="135BB042">
            <w:pPr>
              <w:autoSpaceDE w:val="0"/>
              <w:autoSpaceDN w:val="0"/>
              <w:adjustRightInd w:val="0"/>
              <w:jc w:val="left"/>
              <w:rPr>
                <w:rFonts w:hint="eastAsia" w:ascii="宋体" w:hAnsi="宋体"/>
                <w:sz w:val="22"/>
                <w:szCs w:val="22"/>
                <w:lang w:val="en-US" w:eastAsia="zh-CN"/>
              </w:rPr>
            </w:pPr>
          </w:p>
        </w:tc>
        <w:tc>
          <w:tcPr>
            <w:tcW w:w="764" w:type="pct"/>
            <w:noWrap w:val="0"/>
            <w:vAlign w:val="center"/>
          </w:tcPr>
          <w:p w14:paraId="43F1C83F">
            <w:pPr>
              <w:autoSpaceDE w:val="0"/>
              <w:autoSpaceDN w:val="0"/>
              <w:adjustRightInd w:val="0"/>
              <w:jc w:val="center"/>
              <w:rPr>
                <w:rFonts w:hint="eastAsia" w:ascii="仿宋" w:hAnsi="仿宋" w:eastAsia="仿宋" w:cs="仿宋"/>
                <w:kern w:val="0"/>
                <w:lang w:val="en-US" w:eastAsia="zh-CN"/>
              </w:rPr>
            </w:pPr>
          </w:p>
        </w:tc>
      </w:tr>
    </w:tbl>
    <w:p w14:paraId="57881A5A">
      <w:pPr>
        <w:rPr>
          <w:rFonts w:hint="eastAsia" w:asciiTheme="minorEastAsia" w:hAnsiTheme="minorEastAsia" w:eastAsiaTheme="minorEastAsia" w:cstheme="minorEastAsia"/>
          <w:sz w:val="21"/>
          <w:szCs w:val="21"/>
          <w:lang w:eastAsia="zh-CN"/>
        </w:rPr>
      </w:pPr>
    </w:p>
    <w:p w14:paraId="5736883E">
      <w:pPr>
        <w:pStyle w:val="2"/>
        <w:rPr>
          <w:rFonts w:hint="eastAsia" w:asciiTheme="minorEastAsia" w:hAnsiTheme="minorEastAsia" w:eastAsiaTheme="minorEastAsia" w:cstheme="minorEastAsia"/>
          <w:sz w:val="21"/>
          <w:szCs w:val="21"/>
          <w:lang w:eastAsia="zh-CN"/>
        </w:rPr>
      </w:pPr>
    </w:p>
    <w:p w14:paraId="30444FB7">
      <w:pPr>
        <w:rPr>
          <w:rFonts w:hint="eastAsia" w:asciiTheme="minorEastAsia" w:hAnsiTheme="minorEastAsia" w:eastAsiaTheme="minorEastAsia" w:cstheme="minorEastAsia"/>
          <w:sz w:val="21"/>
          <w:szCs w:val="21"/>
          <w:lang w:eastAsia="zh-CN"/>
        </w:rPr>
      </w:pPr>
    </w:p>
    <w:p w14:paraId="112EAC5E">
      <w:pPr>
        <w:pStyle w:val="2"/>
        <w:rPr>
          <w:rFonts w:hint="eastAsia" w:asciiTheme="minorEastAsia" w:hAnsiTheme="minorEastAsia" w:eastAsiaTheme="minorEastAsia" w:cstheme="minorEastAsia"/>
          <w:sz w:val="21"/>
          <w:szCs w:val="21"/>
          <w:lang w:eastAsia="zh-CN"/>
        </w:rPr>
      </w:pPr>
    </w:p>
    <w:p w14:paraId="2AA8D0FC">
      <w:pPr>
        <w:rPr>
          <w:rFonts w:hint="eastAsia" w:asciiTheme="minorEastAsia" w:hAnsiTheme="minorEastAsia" w:eastAsiaTheme="minorEastAsia" w:cstheme="minorEastAsia"/>
          <w:sz w:val="21"/>
          <w:szCs w:val="21"/>
          <w:lang w:eastAsia="zh-CN"/>
        </w:rPr>
      </w:pPr>
    </w:p>
    <w:p w14:paraId="389E1FA5">
      <w:pPr>
        <w:pStyle w:val="2"/>
        <w:rPr>
          <w:rFonts w:hint="eastAsia" w:asciiTheme="minorEastAsia" w:hAnsiTheme="minorEastAsia" w:eastAsiaTheme="minorEastAsia" w:cstheme="minorEastAsia"/>
          <w:sz w:val="21"/>
          <w:szCs w:val="21"/>
          <w:lang w:eastAsia="zh-CN"/>
        </w:rPr>
      </w:pPr>
    </w:p>
    <w:p w14:paraId="5ED37B32">
      <w:pPr>
        <w:rPr>
          <w:rFonts w:hint="eastAsia" w:asciiTheme="minorEastAsia" w:hAnsiTheme="minorEastAsia" w:eastAsiaTheme="minorEastAsia" w:cstheme="minorEastAsia"/>
          <w:sz w:val="21"/>
          <w:szCs w:val="21"/>
          <w:lang w:eastAsia="zh-CN"/>
        </w:rPr>
      </w:pPr>
    </w:p>
    <w:p w14:paraId="3CFA1BA2">
      <w:pPr>
        <w:pStyle w:val="2"/>
        <w:rPr>
          <w:rFonts w:hint="eastAsia" w:asciiTheme="minorEastAsia" w:hAnsiTheme="minorEastAsia" w:eastAsiaTheme="minorEastAsia" w:cstheme="minorEastAsia"/>
          <w:sz w:val="21"/>
          <w:szCs w:val="21"/>
          <w:lang w:eastAsia="zh-CN"/>
        </w:rPr>
      </w:pPr>
    </w:p>
    <w:p w14:paraId="478178C1">
      <w:pPr>
        <w:rPr>
          <w:rFonts w:hint="eastAsia" w:asciiTheme="minorEastAsia" w:hAnsiTheme="minorEastAsia" w:eastAsiaTheme="minorEastAsia" w:cstheme="minorEastAsia"/>
          <w:sz w:val="21"/>
          <w:szCs w:val="21"/>
          <w:lang w:eastAsia="zh-CN"/>
        </w:rPr>
      </w:pPr>
    </w:p>
    <w:p w14:paraId="79B07F2B">
      <w:pPr>
        <w:pStyle w:val="2"/>
        <w:rPr>
          <w:rFonts w:hint="eastAsia"/>
          <w:lang w:eastAsia="zh-CN"/>
        </w:rPr>
      </w:pPr>
    </w:p>
    <w:p w14:paraId="07F3AFF8">
      <w:pPr>
        <w:pStyle w:val="2"/>
        <w:rPr>
          <w:rFonts w:hint="eastAsia" w:asciiTheme="minorEastAsia" w:hAnsiTheme="minorEastAsia" w:eastAsiaTheme="minorEastAsia" w:cstheme="minorEastAsia"/>
          <w:sz w:val="21"/>
          <w:szCs w:val="21"/>
          <w:lang w:eastAsia="zh-CN"/>
        </w:rPr>
      </w:pPr>
    </w:p>
    <w:p w14:paraId="13E9C80C">
      <w:pPr>
        <w:rPr>
          <w:rFonts w:hint="eastAsia"/>
          <w:lang w:eastAsia="zh-CN"/>
        </w:rPr>
      </w:pPr>
    </w:p>
    <w:p w14:paraId="589239B6">
      <w:pPr>
        <w:rPr>
          <w:rFonts w:hint="eastAsia" w:asciiTheme="minorEastAsia" w:hAnsiTheme="minorEastAsia" w:eastAsiaTheme="minorEastAsia" w:cstheme="minorEastAsia"/>
          <w:sz w:val="21"/>
          <w:szCs w:val="21"/>
          <w:lang w:eastAsia="zh-CN"/>
        </w:rPr>
      </w:pPr>
    </w:p>
    <w:p w14:paraId="65C5767E">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三、报价要求</w:t>
      </w:r>
    </w:p>
    <w:p w14:paraId="2FA34AE4">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投标单位必须按要求完整填写相关附表，并签字盖章</w:t>
      </w:r>
    </w:p>
    <w:p w14:paraId="4B0E404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1、该投标文件要求一正一副，密封递交。</w:t>
      </w:r>
    </w:p>
    <w:p w14:paraId="4A46D9B1">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2、投标文件正本与副本可以单独密封包装，也可以所有投标文件密封包装在一个密封袋内。密封袋的封口处应粘贴处理。</w:t>
      </w:r>
    </w:p>
    <w:p w14:paraId="4EA2AD1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3、密封外包装加盖投标人印章。</w:t>
      </w:r>
    </w:p>
    <w:p w14:paraId="33907EA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4、如果未按要求密封和标记，招标人对误投或提前启封概不负责。</w:t>
      </w:r>
    </w:p>
    <w:p w14:paraId="109440A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5、★投标人必须根据采购项目的技术参数按顺序逐条响应，否则经专家小组讨论后可作废标处理。</w:t>
      </w:r>
    </w:p>
    <w:p w14:paraId="69120F8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6、招标文件中凡有“★”标识的内容条款为关键条款，投标供应商必须对此作出回答并完全满足这些要求不可以出现任何负偏离，对这些关键条款的任何负偏离将视为无效投标。</w:t>
      </w:r>
    </w:p>
    <w:p w14:paraId="61D8CBF0">
      <w:pPr>
        <w:rPr>
          <w:rFonts w:hint="eastAsia" w:asciiTheme="minorEastAsia" w:hAnsiTheme="minorEastAsia" w:eastAsiaTheme="minorEastAsia" w:cstheme="minorEastAsia"/>
          <w:sz w:val="21"/>
          <w:szCs w:val="21"/>
          <w:lang w:eastAsia="zh-CN"/>
        </w:rPr>
      </w:pPr>
    </w:p>
    <w:p w14:paraId="296FD413">
      <w:pPr>
        <w:rPr>
          <w:rFonts w:hint="eastAsia" w:asciiTheme="minorEastAsia" w:hAnsiTheme="minorEastAsia" w:eastAsiaTheme="minorEastAsia" w:cstheme="minorEastAsia"/>
          <w:sz w:val="21"/>
          <w:szCs w:val="21"/>
          <w:lang w:eastAsia="zh-CN"/>
        </w:rPr>
      </w:pPr>
    </w:p>
    <w:p w14:paraId="3B069F7E">
      <w:pPr>
        <w:rPr>
          <w:rFonts w:hint="eastAsia" w:asciiTheme="minorEastAsia" w:hAnsiTheme="minorEastAsia" w:eastAsiaTheme="minorEastAsia" w:cstheme="minorEastAsia"/>
          <w:sz w:val="21"/>
          <w:szCs w:val="21"/>
          <w:lang w:eastAsia="zh-CN"/>
        </w:rPr>
      </w:pPr>
    </w:p>
    <w:p w14:paraId="5E2CAE75">
      <w:pPr>
        <w:rPr>
          <w:rFonts w:hint="eastAsia" w:asciiTheme="minorEastAsia" w:hAnsiTheme="minorEastAsia" w:eastAsiaTheme="minorEastAsia" w:cstheme="minorEastAsia"/>
          <w:sz w:val="21"/>
          <w:szCs w:val="21"/>
          <w:lang w:eastAsia="zh-CN"/>
        </w:rPr>
      </w:pPr>
    </w:p>
    <w:p w14:paraId="674A20DE">
      <w:pPr>
        <w:rPr>
          <w:rFonts w:hint="eastAsia" w:asciiTheme="minorEastAsia" w:hAnsiTheme="minorEastAsia" w:eastAsiaTheme="minorEastAsia" w:cstheme="minorEastAsia"/>
          <w:sz w:val="21"/>
          <w:szCs w:val="21"/>
          <w:lang w:eastAsia="zh-CN"/>
        </w:rPr>
      </w:pPr>
    </w:p>
    <w:p w14:paraId="2FCE5A05">
      <w:pPr>
        <w:rPr>
          <w:rFonts w:hint="eastAsia" w:asciiTheme="minorEastAsia" w:hAnsiTheme="minorEastAsia" w:eastAsiaTheme="minorEastAsia" w:cstheme="minorEastAsia"/>
          <w:sz w:val="21"/>
          <w:szCs w:val="21"/>
          <w:lang w:eastAsia="zh-CN"/>
        </w:rPr>
      </w:pPr>
    </w:p>
    <w:p w14:paraId="033DD39D">
      <w:pPr>
        <w:rPr>
          <w:rFonts w:hint="eastAsia" w:asciiTheme="minorEastAsia" w:hAnsiTheme="minorEastAsia" w:eastAsiaTheme="minorEastAsia" w:cstheme="minorEastAsia"/>
          <w:sz w:val="21"/>
          <w:szCs w:val="21"/>
          <w:lang w:eastAsia="zh-CN"/>
        </w:rPr>
      </w:pPr>
    </w:p>
    <w:p w14:paraId="4436C55D">
      <w:pPr>
        <w:rPr>
          <w:rFonts w:hint="eastAsia" w:asciiTheme="minorEastAsia" w:hAnsiTheme="minorEastAsia" w:eastAsiaTheme="minorEastAsia" w:cstheme="minorEastAsia"/>
          <w:sz w:val="21"/>
          <w:szCs w:val="21"/>
          <w:lang w:eastAsia="zh-CN"/>
        </w:rPr>
      </w:pPr>
    </w:p>
    <w:p w14:paraId="73E2921F">
      <w:pPr>
        <w:rPr>
          <w:rFonts w:hint="eastAsia" w:asciiTheme="minorEastAsia" w:hAnsiTheme="minorEastAsia" w:eastAsiaTheme="minorEastAsia" w:cstheme="minorEastAsia"/>
          <w:sz w:val="21"/>
          <w:szCs w:val="21"/>
          <w:lang w:eastAsia="zh-CN"/>
        </w:rPr>
      </w:pPr>
    </w:p>
    <w:p w14:paraId="330EBC40">
      <w:pPr>
        <w:pStyle w:val="2"/>
        <w:rPr>
          <w:rFonts w:hint="eastAsia" w:asciiTheme="minorEastAsia" w:hAnsiTheme="minorEastAsia" w:eastAsiaTheme="minorEastAsia" w:cstheme="minorEastAsia"/>
          <w:sz w:val="21"/>
          <w:szCs w:val="21"/>
          <w:lang w:eastAsia="zh-CN"/>
        </w:rPr>
      </w:pPr>
    </w:p>
    <w:p w14:paraId="1DBFC53E">
      <w:pPr>
        <w:rPr>
          <w:rFonts w:hint="eastAsia" w:asciiTheme="minorEastAsia" w:hAnsiTheme="minorEastAsia" w:eastAsiaTheme="minorEastAsia" w:cstheme="minorEastAsia"/>
          <w:sz w:val="21"/>
          <w:szCs w:val="21"/>
          <w:lang w:eastAsia="zh-CN"/>
        </w:rPr>
      </w:pPr>
    </w:p>
    <w:p w14:paraId="23F880E8">
      <w:pPr>
        <w:pStyle w:val="2"/>
        <w:rPr>
          <w:rFonts w:hint="eastAsia" w:asciiTheme="minorEastAsia" w:hAnsiTheme="minorEastAsia" w:eastAsiaTheme="minorEastAsia" w:cstheme="minorEastAsia"/>
          <w:sz w:val="21"/>
          <w:szCs w:val="21"/>
          <w:lang w:eastAsia="zh-CN"/>
        </w:rPr>
      </w:pPr>
    </w:p>
    <w:p w14:paraId="150FAA58">
      <w:pPr>
        <w:rPr>
          <w:rFonts w:hint="eastAsia" w:asciiTheme="minorEastAsia" w:hAnsiTheme="minorEastAsia" w:eastAsiaTheme="minorEastAsia" w:cstheme="minorEastAsia"/>
          <w:sz w:val="21"/>
          <w:szCs w:val="21"/>
          <w:lang w:eastAsia="zh-CN"/>
        </w:rPr>
      </w:pPr>
    </w:p>
    <w:p w14:paraId="042B86D3">
      <w:pPr>
        <w:pStyle w:val="2"/>
        <w:rPr>
          <w:rFonts w:hint="eastAsia" w:asciiTheme="minorEastAsia" w:hAnsiTheme="minorEastAsia" w:eastAsiaTheme="minorEastAsia" w:cstheme="minorEastAsia"/>
          <w:sz w:val="21"/>
          <w:szCs w:val="21"/>
          <w:lang w:eastAsia="zh-CN"/>
        </w:rPr>
      </w:pPr>
    </w:p>
    <w:p w14:paraId="32F76070">
      <w:pPr>
        <w:rPr>
          <w:rFonts w:hint="eastAsia" w:asciiTheme="minorEastAsia" w:hAnsiTheme="minorEastAsia" w:eastAsiaTheme="minorEastAsia" w:cstheme="minorEastAsia"/>
          <w:sz w:val="21"/>
          <w:szCs w:val="21"/>
          <w:lang w:eastAsia="zh-CN"/>
        </w:rPr>
      </w:pPr>
    </w:p>
    <w:p w14:paraId="575EA62E">
      <w:pPr>
        <w:pStyle w:val="2"/>
        <w:rPr>
          <w:rFonts w:hint="eastAsia" w:asciiTheme="minorEastAsia" w:hAnsiTheme="minorEastAsia" w:eastAsiaTheme="minorEastAsia" w:cstheme="minorEastAsia"/>
          <w:sz w:val="21"/>
          <w:szCs w:val="21"/>
          <w:lang w:eastAsia="zh-CN"/>
        </w:rPr>
      </w:pPr>
    </w:p>
    <w:p w14:paraId="4CF5F8D6">
      <w:pPr>
        <w:rPr>
          <w:rFonts w:hint="eastAsia" w:asciiTheme="minorEastAsia" w:hAnsiTheme="minorEastAsia" w:eastAsiaTheme="minorEastAsia" w:cstheme="minorEastAsia"/>
          <w:sz w:val="21"/>
          <w:szCs w:val="21"/>
          <w:lang w:eastAsia="zh-CN"/>
        </w:rPr>
      </w:pPr>
    </w:p>
    <w:p w14:paraId="5F5C1AA6">
      <w:pPr>
        <w:pStyle w:val="2"/>
        <w:rPr>
          <w:rFonts w:hint="eastAsia" w:asciiTheme="minorEastAsia" w:hAnsiTheme="minorEastAsia" w:eastAsiaTheme="minorEastAsia" w:cstheme="minorEastAsia"/>
          <w:sz w:val="21"/>
          <w:szCs w:val="21"/>
          <w:lang w:eastAsia="zh-CN"/>
        </w:rPr>
      </w:pPr>
    </w:p>
    <w:p w14:paraId="33C1FCC5">
      <w:pPr>
        <w:rPr>
          <w:rFonts w:hint="eastAsia" w:asciiTheme="minorEastAsia" w:hAnsiTheme="minorEastAsia" w:eastAsiaTheme="minorEastAsia" w:cstheme="minorEastAsia"/>
          <w:sz w:val="21"/>
          <w:szCs w:val="21"/>
          <w:lang w:eastAsia="zh-CN"/>
        </w:rPr>
      </w:pPr>
    </w:p>
    <w:p w14:paraId="677897C3">
      <w:pPr>
        <w:pStyle w:val="2"/>
        <w:rPr>
          <w:rFonts w:hint="eastAsia" w:asciiTheme="minorEastAsia" w:hAnsiTheme="minorEastAsia" w:eastAsiaTheme="minorEastAsia" w:cstheme="minorEastAsia"/>
          <w:sz w:val="21"/>
          <w:szCs w:val="21"/>
          <w:lang w:eastAsia="zh-CN"/>
        </w:rPr>
      </w:pPr>
    </w:p>
    <w:p w14:paraId="542F92EC">
      <w:pPr>
        <w:rPr>
          <w:rFonts w:hint="eastAsia" w:asciiTheme="minorEastAsia" w:hAnsiTheme="minorEastAsia" w:eastAsiaTheme="minorEastAsia" w:cstheme="minorEastAsia"/>
          <w:sz w:val="21"/>
          <w:szCs w:val="21"/>
          <w:lang w:eastAsia="zh-CN"/>
        </w:rPr>
      </w:pPr>
    </w:p>
    <w:p w14:paraId="438D3EAA">
      <w:pPr>
        <w:pStyle w:val="2"/>
        <w:rPr>
          <w:rFonts w:hint="eastAsia" w:asciiTheme="minorEastAsia" w:hAnsiTheme="minorEastAsia" w:eastAsiaTheme="minorEastAsia" w:cstheme="minorEastAsia"/>
          <w:sz w:val="21"/>
          <w:szCs w:val="21"/>
          <w:lang w:eastAsia="zh-CN"/>
        </w:rPr>
      </w:pPr>
    </w:p>
    <w:p w14:paraId="4E7C10EA">
      <w:pPr>
        <w:rPr>
          <w:rFonts w:hint="eastAsia" w:asciiTheme="minorEastAsia" w:hAnsiTheme="minorEastAsia" w:eastAsiaTheme="minorEastAsia" w:cstheme="minorEastAsia"/>
          <w:sz w:val="21"/>
          <w:szCs w:val="21"/>
          <w:lang w:eastAsia="zh-CN"/>
        </w:rPr>
      </w:pPr>
    </w:p>
    <w:p w14:paraId="4715C2E7">
      <w:pPr>
        <w:pStyle w:val="2"/>
        <w:rPr>
          <w:rFonts w:hint="eastAsia" w:asciiTheme="minorEastAsia" w:hAnsiTheme="minorEastAsia" w:eastAsiaTheme="minorEastAsia" w:cstheme="minorEastAsia"/>
          <w:sz w:val="21"/>
          <w:szCs w:val="21"/>
          <w:lang w:eastAsia="zh-CN"/>
        </w:rPr>
      </w:pPr>
    </w:p>
    <w:p w14:paraId="275C1BD7">
      <w:pPr>
        <w:rPr>
          <w:rFonts w:hint="eastAsia" w:asciiTheme="minorEastAsia" w:hAnsiTheme="minorEastAsia" w:eastAsiaTheme="minorEastAsia" w:cstheme="minorEastAsia"/>
          <w:sz w:val="21"/>
          <w:szCs w:val="21"/>
          <w:lang w:eastAsia="zh-CN"/>
        </w:rPr>
      </w:pPr>
    </w:p>
    <w:p w14:paraId="1D5FD1D7">
      <w:pPr>
        <w:pStyle w:val="2"/>
        <w:rPr>
          <w:rFonts w:hint="eastAsia" w:asciiTheme="minorEastAsia" w:hAnsiTheme="minorEastAsia" w:eastAsiaTheme="minorEastAsia" w:cstheme="minorEastAsia"/>
          <w:sz w:val="21"/>
          <w:szCs w:val="21"/>
          <w:lang w:eastAsia="zh-CN"/>
        </w:rPr>
      </w:pPr>
    </w:p>
    <w:p w14:paraId="626579F6">
      <w:pPr>
        <w:rPr>
          <w:rFonts w:hint="eastAsia" w:asciiTheme="minorEastAsia" w:hAnsiTheme="minorEastAsia" w:eastAsiaTheme="minorEastAsia" w:cstheme="minorEastAsia"/>
          <w:sz w:val="21"/>
          <w:szCs w:val="21"/>
          <w:lang w:eastAsia="zh-CN"/>
        </w:rPr>
      </w:pPr>
    </w:p>
    <w:p w14:paraId="593EAD9A">
      <w:pPr>
        <w:pStyle w:val="2"/>
        <w:rPr>
          <w:rFonts w:hint="eastAsia"/>
          <w:lang w:eastAsia="zh-CN"/>
        </w:rPr>
      </w:pPr>
    </w:p>
    <w:p w14:paraId="3864F964">
      <w:pPr>
        <w:rPr>
          <w:rFonts w:hint="eastAsia"/>
          <w:lang w:eastAsia="zh-CN"/>
        </w:rPr>
      </w:pPr>
    </w:p>
    <w:p w14:paraId="66166AE3">
      <w:pPr>
        <w:rPr>
          <w:rFonts w:hint="eastAsia"/>
          <w:lang w:eastAsia="zh-CN"/>
        </w:rPr>
      </w:pPr>
    </w:p>
    <w:p w14:paraId="05188EB5">
      <w:pPr>
        <w:rPr>
          <w:rFonts w:hint="eastAsia" w:asciiTheme="minorEastAsia" w:hAnsiTheme="minorEastAsia" w:eastAsiaTheme="minorEastAsia" w:cstheme="minorEastAsia"/>
          <w:sz w:val="21"/>
          <w:szCs w:val="21"/>
          <w:lang w:eastAsia="zh-CN"/>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bCs/>
          <w:kern w:val="28"/>
          <w:szCs w:val="21"/>
          <w:lang w:eastAsia="zh-CN"/>
        </w:rPr>
        <w:t>中山市古镇人民医院基于价值医疗的战略品牌管理体系建立项目（第一期）采购项目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（报价单位名称）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bookmarkStart w:id="5" w:name="_GoBack"/>
      <w:bookmarkEnd w:id="5"/>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40A8199B">
      <w:pPr>
        <w:rPr>
          <w:rFonts w:hint="eastAsia" w:asciiTheme="minorEastAsia" w:hAnsiTheme="minorEastAsia" w:eastAsiaTheme="minorEastAsia" w:cstheme="minorEastAsia"/>
          <w:sz w:val="21"/>
          <w:szCs w:val="21"/>
          <w:lang w:eastAsia="zh-CN"/>
        </w:rPr>
      </w:pPr>
    </w:p>
    <w:p w14:paraId="40AE2E4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授权单位：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说明：1.法定代表人为企业事业单位、国家机关、社会团体的主要行政负责人。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5.有效期限：与本公司响应文件中标注的投标有效期相同，自本单位盖公章之日起生效。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0288;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59264;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20515315">
      <w:pPr>
        <w:rPr>
          <w:rFonts w:hint="eastAsia" w:asciiTheme="minorEastAsia" w:hAnsiTheme="minorEastAsia" w:eastAsiaTheme="minorEastAsia" w:cstheme="minorEastAsia"/>
          <w:sz w:val="21"/>
          <w:szCs w:val="21"/>
          <w:lang w:eastAsia="zh-CN"/>
        </w:rPr>
      </w:pPr>
    </w:p>
    <w:p w14:paraId="2B6DCD2F">
      <w:pPr>
        <w:rPr>
          <w:rFonts w:hint="eastAsia" w:asciiTheme="minorEastAsia" w:hAnsiTheme="minorEastAsia" w:eastAsiaTheme="minorEastAsia" w:cstheme="minorEastAsia"/>
          <w:sz w:val="21"/>
          <w:szCs w:val="21"/>
          <w:lang w:eastAsia="zh-CN"/>
        </w:rPr>
      </w:pPr>
    </w:p>
    <w:p w14:paraId="2D21D0CA">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1347C375">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同志，现任我单位</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签发日期：                         单位：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1.法定代表人为企业事业单位、国家机关、社会团体的主要行政负责人。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1312;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2336;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55D5D3B7">
      <w:pPr>
        <w:rPr>
          <w:rFonts w:hint="eastAsia" w:asciiTheme="minorEastAsia" w:hAnsiTheme="minorEastAsia" w:eastAsiaTheme="minorEastAsia" w:cstheme="minorEastAsia"/>
          <w:sz w:val="21"/>
          <w:szCs w:val="21"/>
          <w:lang w:eastAsia="zh-CN"/>
        </w:rPr>
      </w:pPr>
    </w:p>
    <w:p w14:paraId="5C5552CC">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36C23E5C">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32"/>
          <w:szCs w:val="32"/>
          <w:lang w:eastAsia="zh-CN"/>
        </w:rPr>
        <w:t>表4   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金额单位：元（人民币）</w:t>
      </w:r>
    </w:p>
    <w:tbl>
      <w:tblPr>
        <w:tblStyle w:val="7"/>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2325"/>
        <w:gridCol w:w="1785"/>
        <w:gridCol w:w="1815"/>
        <w:gridCol w:w="1575"/>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793"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325" w:type="dxa"/>
            <w:tcBorders>
              <w:top w:val="double" w:color="auto" w:sz="4" w:space="0"/>
              <w:bottom w:val="single" w:color="auto" w:sz="6" w:space="0"/>
            </w:tcBorders>
            <w:shd w:val="clear" w:color="auto" w:fill="D9D9D9"/>
            <w:noWrap w:val="0"/>
            <w:vAlign w:val="center"/>
          </w:tcPr>
          <w:p w14:paraId="341E280E">
            <w:pPr>
              <w:pStyle w:val="12"/>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78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81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575"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93" w:type="dxa"/>
            <w:tcBorders>
              <w:top w:val="single" w:color="auto" w:sz="6" w:space="0"/>
            </w:tcBorders>
            <w:noWrap w:val="0"/>
            <w:vAlign w:val="center"/>
          </w:tcPr>
          <w:p w14:paraId="5D47614E">
            <w:pPr>
              <w:adjustRightInd w:val="0"/>
              <w:snapToGrid w:val="0"/>
              <w:spacing w:line="360" w:lineRule="auto"/>
              <w:rPr>
                <w:rFonts w:hint="eastAsia" w:ascii="宋体" w:hAnsi="宋体" w:eastAsia="宋体"/>
                <w:szCs w:val="21"/>
                <w:lang w:val="en-US" w:eastAsia="zh-CN"/>
              </w:rPr>
            </w:pPr>
            <w:r>
              <w:rPr>
                <w:rFonts w:hint="eastAsia" w:ascii="宋体" w:hAnsi="宋体"/>
                <w:szCs w:val="21"/>
                <w:lang w:val="en-US" w:eastAsia="zh-CN"/>
              </w:rPr>
              <w:t>1</w:t>
            </w:r>
          </w:p>
        </w:tc>
        <w:tc>
          <w:tcPr>
            <w:tcW w:w="2325" w:type="dxa"/>
            <w:tcBorders>
              <w:top w:val="single" w:color="auto" w:sz="6" w:space="0"/>
            </w:tcBorders>
            <w:noWrap w:val="0"/>
            <w:vAlign w:val="center"/>
          </w:tcPr>
          <w:p w14:paraId="6BD46350">
            <w:pPr>
              <w:spacing w:line="360" w:lineRule="auto"/>
              <w:rPr>
                <w:rFonts w:hint="eastAsia" w:ascii="宋体" w:hAnsi="宋体" w:cs="Arial"/>
                <w:szCs w:val="21"/>
              </w:rPr>
            </w:pPr>
          </w:p>
        </w:tc>
        <w:tc>
          <w:tcPr>
            <w:tcW w:w="178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81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575"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93" w:type="dxa"/>
            <w:noWrap w:val="0"/>
            <w:vAlign w:val="center"/>
          </w:tcPr>
          <w:p w14:paraId="1F0FCC4E">
            <w:pPr>
              <w:adjustRightInd w:val="0"/>
              <w:snapToGrid w:val="0"/>
              <w:spacing w:line="360" w:lineRule="auto"/>
              <w:rPr>
                <w:rFonts w:hint="eastAsia" w:ascii="宋体" w:hAnsi="宋体" w:eastAsia="宋体"/>
                <w:szCs w:val="21"/>
                <w:lang w:val="en-US" w:eastAsia="zh-CN"/>
              </w:rPr>
            </w:pPr>
            <w:r>
              <w:rPr>
                <w:rFonts w:hint="eastAsia" w:ascii="宋体" w:hAnsi="宋体"/>
                <w:szCs w:val="21"/>
                <w:lang w:val="en-US" w:eastAsia="zh-CN"/>
              </w:rPr>
              <w:t>2</w:t>
            </w:r>
          </w:p>
        </w:tc>
        <w:tc>
          <w:tcPr>
            <w:tcW w:w="2325" w:type="dxa"/>
            <w:noWrap w:val="0"/>
            <w:vAlign w:val="center"/>
          </w:tcPr>
          <w:p w14:paraId="0F6E5B78">
            <w:pPr>
              <w:spacing w:line="360" w:lineRule="auto"/>
              <w:rPr>
                <w:rFonts w:hint="eastAsia" w:ascii="宋体" w:hAnsi="宋体" w:cs="Arial"/>
                <w:szCs w:val="21"/>
              </w:rPr>
            </w:pPr>
          </w:p>
        </w:tc>
        <w:tc>
          <w:tcPr>
            <w:tcW w:w="1785" w:type="dxa"/>
            <w:noWrap w:val="0"/>
            <w:vAlign w:val="center"/>
          </w:tcPr>
          <w:p w14:paraId="14D50B2B">
            <w:pPr>
              <w:adjustRightInd w:val="0"/>
              <w:snapToGrid w:val="0"/>
              <w:spacing w:line="360" w:lineRule="auto"/>
              <w:rPr>
                <w:rFonts w:hint="eastAsia" w:ascii="宋体" w:hAnsi="宋体"/>
                <w:szCs w:val="21"/>
              </w:rPr>
            </w:pPr>
          </w:p>
        </w:tc>
        <w:tc>
          <w:tcPr>
            <w:tcW w:w="1815" w:type="dxa"/>
            <w:noWrap w:val="0"/>
            <w:vAlign w:val="center"/>
          </w:tcPr>
          <w:p w14:paraId="375CDA33">
            <w:pPr>
              <w:adjustRightInd w:val="0"/>
              <w:snapToGrid w:val="0"/>
              <w:spacing w:line="360" w:lineRule="auto"/>
              <w:rPr>
                <w:rFonts w:hint="eastAsia" w:ascii="宋体" w:hAnsi="宋体"/>
                <w:szCs w:val="21"/>
              </w:rPr>
            </w:pPr>
          </w:p>
        </w:tc>
        <w:tc>
          <w:tcPr>
            <w:tcW w:w="1575"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93" w:type="dxa"/>
            <w:noWrap w:val="0"/>
            <w:vAlign w:val="center"/>
          </w:tcPr>
          <w:p w14:paraId="0FD545D0">
            <w:pPr>
              <w:adjustRightInd w:val="0"/>
              <w:snapToGrid w:val="0"/>
              <w:spacing w:line="360" w:lineRule="auto"/>
              <w:rPr>
                <w:rFonts w:hint="eastAsia" w:ascii="宋体" w:hAnsi="宋体"/>
                <w:szCs w:val="21"/>
              </w:rPr>
            </w:pPr>
            <w:r>
              <w:rPr>
                <w:rFonts w:hint="eastAsia" w:ascii="宋体" w:hAnsi="宋体"/>
                <w:szCs w:val="21"/>
                <w:lang w:val="en-US" w:eastAsia="zh-CN"/>
              </w:rPr>
              <w:t>3</w:t>
            </w:r>
          </w:p>
        </w:tc>
        <w:tc>
          <w:tcPr>
            <w:tcW w:w="2325" w:type="dxa"/>
            <w:noWrap w:val="0"/>
            <w:vAlign w:val="center"/>
          </w:tcPr>
          <w:p w14:paraId="1F6B6AD3">
            <w:pPr>
              <w:spacing w:line="360" w:lineRule="auto"/>
              <w:rPr>
                <w:rFonts w:hint="eastAsia" w:ascii="宋体" w:hAnsi="宋体" w:cs="Arial"/>
                <w:szCs w:val="21"/>
              </w:rPr>
            </w:pPr>
          </w:p>
        </w:tc>
        <w:tc>
          <w:tcPr>
            <w:tcW w:w="1785" w:type="dxa"/>
            <w:noWrap w:val="0"/>
            <w:vAlign w:val="center"/>
          </w:tcPr>
          <w:p w14:paraId="660F57F2">
            <w:pPr>
              <w:adjustRightInd w:val="0"/>
              <w:snapToGrid w:val="0"/>
              <w:spacing w:line="360" w:lineRule="auto"/>
              <w:rPr>
                <w:rFonts w:hint="eastAsia" w:ascii="宋体" w:hAnsi="宋体"/>
                <w:szCs w:val="21"/>
              </w:rPr>
            </w:pPr>
          </w:p>
        </w:tc>
        <w:tc>
          <w:tcPr>
            <w:tcW w:w="1815" w:type="dxa"/>
            <w:noWrap w:val="0"/>
            <w:vAlign w:val="center"/>
          </w:tcPr>
          <w:p w14:paraId="0CCDB6A7">
            <w:pPr>
              <w:adjustRightInd w:val="0"/>
              <w:snapToGrid w:val="0"/>
              <w:spacing w:line="360" w:lineRule="auto"/>
              <w:rPr>
                <w:rFonts w:hint="eastAsia" w:ascii="宋体" w:hAnsi="宋体"/>
                <w:szCs w:val="21"/>
              </w:rPr>
            </w:pPr>
          </w:p>
        </w:tc>
        <w:tc>
          <w:tcPr>
            <w:tcW w:w="1575"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793"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50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3"/>
        <w:numPr>
          <w:ilvl w:val="0"/>
          <w:numId w:val="6"/>
        </w:numPr>
        <w:snapToGrid w:val="0"/>
        <w:spacing w:line="360" w:lineRule="auto"/>
        <w:ind w:left="315" w:right="120" w:rightChars="57" w:hanging="315" w:hangingChars="15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3"/>
        <w:numPr>
          <w:ilvl w:val="0"/>
          <w:numId w:val="6"/>
        </w:numPr>
        <w:snapToGrid w:val="0"/>
        <w:spacing w:line="360" w:lineRule="auto"/>
        <w:ind w:left="316" w:right="120" w:rightChars="57" w:hanging="316" w:hangingChars="15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4C476D0E">
      <w:pPr>
        <w:rPr>
          <w:rFonts w:hint="eastAsia" w:asciiTheme="minorEastAsia" w:hAnsiTheme="minorEastAsia" w:eastAsiaTheme="minorEastAsia" w:cstheme="minorEastAsia"/>
          <w:sz w:val="21"/>
          <w:szCs w:val="21"/>
          <w:lang w:eastAsia="zh-CN"/>
        </w:rPr>
      </w:pPr>
    </w:p>
    <w:p w14:paraId="144BECA5">
      <w:pPr>
        <w:rPr>
          <w:rFonts w:hint="eastAsia" w:asciiTheme="minorEastAsia" w:hAnsiTheme="minorEastAsia" w:eastAsiaTheme="minorEastAsia" w:cstheme="minorEastAsia"/>
          <w:sz w:val="21"/>
          <w:szCs w:val="21"/>
          <w:lang w:eastAsia="zh-CN"/>
        </w:rPr>
      </w:pPr>
    </w:p>
    <w:p w14:paraId="0C7DB1BB">
      <w:pPr>
        <w:rPr>
          <w:rFonts w:hint="eastAsia" w:asciiTheme="minorEastAsia" w:hAnsiTheme="minorEastAsia" w:eastAsiaTheme="minorEastAsia" w:cstheme="minorEastAsia"/>
          <w:sz w:val="21"/>
          <w:szCs w:val="21"/>
          <w:lang w:eastAsia="zh-CN"/>
        </w:rPr>
      </w:pPr>
    </w:p>
    <w:p w14:paraId="68B3A239">
      <w:pPr>
        <w:rPr>
          <w:rFonts w:hint="eastAsia" w:asciiTheme="minorEastAsia" w:hAnsiTheme="minorEastAsia" w:eastAsiaTheme="minorEastAsia" w:cstheme="minorEastAsia"/>
          <w:sz w:val="21"/>
          <w:szCs w:val="21"/>
          <w:lang w:eastAsia="zh-CN"/>
        </w:rPr>
      </w:pPr>
    </w:p>
    <w:p w14:paraId="08EF84C1">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报价单位承诺书所承诺内容包含但不限于上述要素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供应商名称（单位盖公章）：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3273613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 期：</w:t>
      </w:r>
    </w:p>
    <w:p w14:paraId="1F9369EE">
      <w:pPr>
        <w:rPr>
          <w:rFonts w:hint="eastAsia" w:asciiTheme="minorEastAsia" w:hAnsiTheme="minorEastAsia" w:eastAsiaTheme="minorEastAsia" w:cstheme="minorEastAsia"/>
          <w:sz w:val="21"/>
          <w:szCs w:val="21"/>
          <w:lang w:eastAsia="zh-CN"/>
        </w:rPr>
      </w:pPr>
    </w:p>
    <w:p w14:paraId="287F793B">
      <w:pPr>
        <w:rPr>
          <w:rFonts w:hint="eastAsia" w:asciiTheme="minorEastAsia" w:hAnsiTheme="minorEastAsia" w:eastAsiaTheme="minorEastAsia" w:cstheme="minorEastAsia"/>
          <w:sz w:val="21"/>
          <w:szCs w:val="21"/>
          <w:lang w:eastAsia="zh-CN"/>
        </w:rPr>
      </w:pPr>
    </w:p>
    <w:p w14:paraId="0946CCFC">
      <w:pPr>
        <w:rPr>
          <w:rFonts w:hint="eastAsia" w:asciiTheme="minorEastAsia" w:hAnsiTheme="minorEastAsia" w:eastAsiaTheme="minorEastAsia" w:cstheme="minorEastAsia"/>
          <w:sz w:val="21"/>
          <w:szCs w:val="21"/>
          <w:lang w:eastAsia="zh-CN"/>
        </w:rPr>
      </w:pPr>
    </w:p>
    <w:p w14:paraId="4F6C89DC">
      <w:pPr>
        <w:rPr>
          <w:rFonts w:hint="eastAsia" w:asciiTheme="minorEastAsia" w:hAnsiTheme="minorEastAsia" w:eastAsiaTheme="minorEastAsia" w:cstheme="minorEastAsia"/>
          <w:sz w:val="21"/>
          <w:szCs w:val="21"/>
          <w:lang w:eastAsia="zh-CN"/>
        </w:rPr>
      </w:pPr>
    </w:p>
    <w:p w14:paraId="7F74EAC4">
      <w:pPr>
        <w:rPr>
          <w:rFonts w:hint="eastAsia" w:asciiTheme="minorEastAsia" w:hAnsiTheme="minorEastAsia" w:eastAsiaTheme="minorEastAsia" w:cstheme="minorEastAsia"/>
          <w:sz w:val="21"/>
          <w:szCs w:val="21"/>
          <w:lang w:eastAsia="zh-CN"/>
        </w:rPr>
      </w:pPr>
    </w:p>
    <w:p w14:paraId="38F06E14">
      <w:pPr>
        <w:rPr>
          <w:rFonts w:hint="eastAsia" w:asciiTheme="minorEastAsia" w:hAnsiTheme="minorEastAsia" w:eastAsiaTheme="minorEastAsia" w:cstheme="minorEastAsia"/>
          <w:sz w:val="21"/>
          <w:szCs w:val="21"/>
          <w:lang w:eastAsia="zh-CN"/>
        </w:rPr>
      </w:pPr>
    </w:p>
    <w:p w14:paraId="03A7DEA5">
      <w:pPr>
        <w:rPr>
          <w:rFonts w:hint="eastAsia" w:asciiTheme="minorEastAsia" w:hAnsiTheme="minorEastAsia" w:eastAsiaTheme="minorEastAsia" w:cstheme="minorEastAsia"/>
          <w:sz w:val="21"/>
          <w:szCs w:val="21"/>
          <w:lang w:eastAsia="zh-CN"/>
        </w:rPr>
      </w:pPr>
    </w:p>
    <w:p w14:paraId="04DB52B9">
      <w:pPr>
        <w:rPr>
          <w:rFonts w:hint="eastAsia" w:asciiTheme="minorEastAsia" w:hAnsiTheme="minorEastAsia" w:eastAsiaTheme="minorEastAsia" w:cstheme="minorEastAsia"/>
          <w:sz w:val="21"/>
          <w:szCs w:val="21"/>
          <w:lang w:eastAsia="zh-CN"/>
        </w:rPr>
      </w:pPr>
    </w:p>
    <w:p w14:paraId="4F982B70">
      <w:pPr>
        <w:rPr>
          <w:rFonts w:hint="eastAsia" w:asciiTheme="minorEastAsia" w:hAnsiTheme="minorEastAsia" w:eastAsiaTheme="minorEastAsia" w:cstheme="minorEastAsia"/>
          <w:sz w:val="21"/>
          <w:szCs w:val="21"/>
          <w:lang w:eastAsia="zh-CN"/>
        </w:rPr>
      </w:pPr>
    </w:p>
    <w:p w14:paraId="7A2F243E">
      <w:pPr>
        <w:rPr>
          <w:rFonts w:hint="eastAsia" w:asciiTheme="minorEastAsia" w:hAnsiTheme="minorEastAsia" w:eastAsiaTheme="minorEastAsia" w:cstheme="minorEastAsia"/>
          <w:sz w:val="21"/>
          <w:szCs w:val="21"/>
          <w:lang w:eastAsia="zh-CN"/>
        </w:rPr>
      </w:pPr>
    </w:p>
    <w:p w14:paraId="6B1CFD62">
      <w:pPr>
        <w:rPr>
          <w:rFonts w:hint="eastAsia" w:asciiTheme="minorEastAsia" w:hAnsiTheme="minorEastAsia" w:eastAsiaTheme="minorEastAsia" w:cstheme="minorEastAsia"/>
          <w:sz w:val="21"/>
          <w:szCs w:val="21"/>
          <w:lang w:eastAsia="zh-CN"/>
        </w:rPr>
      </w:pPr>
    </w:p>
    <w:p w14:paraId="3DE41DB9">
      <w:pPr>
        <w:rPr>
          <w:rFonts w:hint="eastAsia" w:asciiTheme="minorEastAsia" w:hAnsiTheme="minorEastAsia" w:eastAsiaTheme="minorEastAsia" w:cstheme="minorEastAsia"/>
          <w:sz w:val="21"/>
          <w:szCs w:val="21"/>
          <w:lang w:eastAsia="zh-CN"/>
        </w:rPr>
      </w:pPr>
    </w:p>
    <w:p w14:paraId="4AF47742">
      <w:pPr>
        <w:rPr>
          <w:rFonts w:hint="eastAsia" w:asciiTheme="minorEastAsia" w:hAnsiTheme="minorEastAsia" w:eastAsiaTheme="minorEastAsia" w:cstheme="minorEastAsia"/>
          <w:sz w:val="21"/>
          <w:szCs w:val="21"/>
          <w:lang w:eastAsia="zh-CN"/>
        </w:rPr>
      </w:pPr>
    </w:p>
    <w:p w14:paraId="1D8B2EBD">
      <w:pPr>
        <w:rPr>
          <w:rFonts w:hint="eastAsia" w:asciiTheme="minorEastAsia" w:hAnsiTheme="minorEastAsia" w:eastAsiaTheme="minorEastAsia" w:cstheme="minorEastAsia"/>
          <w:sz w:val="21"/>
          <w:szCs w:val="21"/>
          <w:lang w:eastAsia="zh-CN"/>
        </w:rPr>
      </w:pPr>
    </w:p>
    <w:p w14:paraId="491E9B89">
      <w:pPr>
        <w:rPr>
          <w:rFonts w:hint="eastAsia" w:asciiTheme="minorEastAsia" w:hAnsiTheme="minorEastAsia" w:eastAsiaTheme="minorEastAsia" w:cstheme="minorEastAsia"/>
          <w:sz w:val="21"/>
          <w:szCs w:val="21"/>
          <w:lang w:eastAsia="zh-CN"/>
        </w:rPr>
      </w:pPr>
    </w:p>
    <w:p w14:paraId="12B70A85">
      <w:pPr>
        <w:rPr>
          <w:rFonts w:hint="eastAsia" w:asciiTheme="minorEastAsia" w:hAnsiTheme="minorEastAsia" w:eastAsiaTheme="minorEastAsia" w:cstheme="minorEastAsia"/>
          <w:sz w:val="21"/>
          <w:szCs w:val="21"/>
          <w:lang w:eastAsia="zh-CN"/>
        </w:rPr>
      </w:pPr>
    </w:p>
    <w:p w14:paraId="7DF7F6FB">
      <w:pPr>
        <w:rPr>
          <w:rFonts w:hint="eastAsia" w:asciiTheme="minorEastAsia" w:hAnsiTheme="minorEastAsia" w:eastAsiaTheme="minorEastAsia" w:cstheme="minorEastAsia"/>
          <w:sz w:val="21"/>
          <w:szCs w:val="21"/>
          <w:lang w:eastAsia="zh-CN"/>
        </w:rPr>
      </w:pPr>
    </w:p>
    <w:p w14:paraId="53D980F8">
      <w:pPr>
        <w:rPr>
          <w:rFonts w:hint="eastAsia" w:asciiTheme="minorEastAsia" w:hAnsiTheme="minorEastAsia" w:eastAsiaTheme="minorEastAsia" w:cstheme="minorEastAsia"/>
          <w:sz w:val="21"/>
          <w:szCs w:val="21"/>
          <w:lang w:eastAsia="zh-CN"/>
        </w:rPr>
      </w:pPr>
    </w:p>
    <w:p w14:paraId="798382B0">
      <w:pPr>
        <w:rPr>
          <w:rFonts w:hint="eastAsia" w:asciiTheme="minorEastAsia" w:hAnsiTheme="minorEastAsia" w:eastAsiaTheme="minorEastAsia" w:cstheme="minorEastAsia"/>
          <w:sz w:val="21"/>
          <w:szCs w:val="21"/>
          <w:lang w:eastAsia="zh-CN"/>
        </w:rPr>
      </w:pPr>
    </w:p>
    <w:p w14:paraId="70E4D163">
      <w:pPr>
        <w:rPr>
          <w:rFonts w:hint="eastAsia" w:asciiTheme="minorEastAsia" w:hAnsiTheme="minorEastAsia" w:eastAsiaTheme="minorEastAsia" w:cstheme="minorEastAsia"/>
          <w:sz w:val="21"/>
          <w:szCs w:val="21"/>
          <w:lang w:eastAsia="zh-CN"/>
        </w:rPr>
      </w:pPr>
    </w:p>
    <w:p w14:paraId="3E9E4376">
      <w:pPr>
        <w:rPr>
          <w:rFonts w:hint="eastAsia" w:asciiTheme="minorEastAsia" w:hAnsiTheme="minorEastAsia" w:eastAsiaTheme="minorEastAsia" w:cstheme="minorEastAsia"/>
          <w:sz w:val="21"/>
          <w:szCs w:val="21"/>
          <w:lang w:eastAsia="zh-CN"/>
        </w:rPr>
      </w:pPr>
    </w:p>
    <w:p w14:paraId="54DF937F">
      <w:pPr>
        <w:rPr>
          <w:rFonts w:hint="eastAsia" w:asciiTheme="minorEastAsia" w:hAnsiTheme="minorEastAsia" w:eastAsiaTheme="minorEastAsia" w:cstheme="minorEastAsia"/>
          <w:sz w:val="21"/>
          <w:szCs w:val="21"/>
          <w:lang w:eastAsia="zh-CN"/>
        </w:rPr>
      </w:pPr>
    </w:p>
    <w:p w14:paraId="3219F60E">
      <w:pPr>
        <w:rPr>
          <w:rFonts w:hint="eastAsia" w:asciiTheme="minorEastAsia" w:hAnsiTheme="minorEastAsia" w:eastAsiaTheme="minorEastAsia" w:cstheme="minorEastAsia"/>
          <w:sz w:val="21"/>
          <w:szCs w:val="21"/>
          <w:lang w:eastAsia="zh-CN"/>
        </w:rPr>
      </w:pPr>
    </w:p>
    <w:p w14:paraId="24AAC764">
      <w:pPr>
        <w:rPr>
          <w:rFonts w:hint="eastAsia" w:asciiTheme="minorEastAsia" w:hAnsiTheme="minorEastAsia" w:eastAsiaTheme="minorEastAsia" w:cstheme="minorEastAsia"/>
          <w:sz w:val="21"/>
          <w:szCs w:val="21"/>
          <w:lang w:eastAsia="zh-CN"/>
        </w:rPr>
      </w:pPr>
    </w:p>
    <w:p w14:paraId="26115FE8">
      <w:pPr>
        <w:rPr>
          <w:rFonts w:hint="eastAsia" w:asciiTheme="minorEastAsia" w:hAnsiTheme="minorEastAsia" w:eastAsiaTheme="minorEastAsia" w:cstheme="minorEastAsia"/>
          <w:sz w:val="21"/>
          <w:szCs w:val="21"/>
          <w:lang w:eastAsia="zh-CN"/>
        </w:rPr>
      </w:pPr>
    </w:p>
    <w:p w14:paraId="3618D73C">
      <w:pPr>
        <w:rPr>
          <w:rFonts w:hint="eastAsia" w:asciiTheme="minorEastAsia" w:hAnsiTheme="minorEastAsia" w:eastAsiaTheme="minorEastAsia" w:cstheme="minorEastAsia"/>
          <w:sz w:val="21"/>
          <w:szCs w:val="21"/>
          <w:lang w:eastAsia="zh-CN"/>
        </w:rPr>
      </w:pPr>
    </w:p>
    <w:p w14:paraId="16BF27BE">
      <w:pPr>
        <w:rPr>
          <w:rFonts w:hint="eastAsia" w:asciiTheme="minorEastAsia" w:hAnsiTheme="minorEastAsia" w:eastAsiaTheme="minorEastAsia" w:cstheme="minorEastAsia"/>
          <w:sz w:val="21"/>
          <w:szCs w:val="21"/>
          <w:lang w:eastAsia="zh-CN"/>
        </w:rPr>
      </w:pPr>
    </w:p>
    <w:p w14:paraId="4EEDCFF8">
      <w:pPr>
        <w:rPr>
          <w:rFonts w:hint="eastAsia" w:asciiTheme="minorEastAsia" w:hAnsiTheme="minorEastAsia" w:eastAsiaTheme="minorEastAsia" w:cstheme="minorEastAsia"/>
          <w:sz w:val="21"/>
          <w:szCs w:val="21"/>
          <w:lang w:eastAsia="zh-CN"/>
        </w:rPr>
      </w:pPr>
    </w:p>
    <w:p w14:paraId="456F084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表6   投 标 承 诺 书</w:t>
      </w:r>
    </w:p>
    <w:p w14:paraId="72BE67D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b/>
      </w:r>
    </w:p>
    <w:p w14:paraId="2F1CF9E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中山市古镇人民医院 ：</w:t>
      </w:r>
    </w:p>
    <w:p w14:paraId="42AD023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本投标人已详细阅读了  （项目名称）  采购文件，自愿参加上述项目投标，现就有关事项向交易中心/采购单位郑重承诺如下：</w:t>
      </w:r>
    </w:p>
    <w:p w14:paraId="0CD92D9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1.本投标人自愿在采购文件规定的时限内按照采购文件、用户需求书、技术规范等要求完成采购任务，按时完成并验收合格。服务质量按照采购文件的承诺并满足采购文件要求。</w:t>
      </w:r>
    </w:p>
    <w:p w14:paraId="18CEA75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2.遵守中华人民共和国、广东省、中山市有关采购、招标投标的法律法规规定，自觉维护市场经济秩序。否则，同意被废除投标资格并接受相关监管部门处罚。</w:t>
      </w:r>
    </w:p>
    <w:p w14:paraId="58AEEF41">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3.保证投标文件内容无任何虚假。若评标过程中查出有虚假，同意作无效投标文件处理并接受相关监管部门处罚，若中标之后查出有虚假，同意废除中标资格并接受相关监管部门处罚。</w:t>
      </w:r>
    </w:p>
    <w:p w14:paraId="1099AE2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4.保证投标文件不存在低于成本的恶意报价行为。</w:t>
      </w:r>
    </w:p>
    <w:p w14:paraId="2FF365A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5.保证无围标、串标行为。</w:t>
      </w:r>
    </w:p>
    <w:p w14:paraId="7E58E20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6.保证按照采购文件及中标通知书规定商签采购合同。否则，同意接受采购人违约处罚。</w:t>
      </w:r>
    </w:p>
    <w:p w14:paraId="2E15482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7.保证按照采购合同约定完成采购合同范围内的全部内容，履行保修责任。否则，同意接受采购人对投标人违约处理。</w:t>
      </w:r>
    </w:p>
    <w:p w14:paraId="4B33C72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8.保证中标之后不转包，若分包将征得采购人同意并遵守相关法律法规。</w:t>
      </w:r>
    </w:p>
    <w:p w14:paraId="1619105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9.保证中标之后按采购文件要求向采购项目配置承诺的资源，否则，同意接受违约处罚。</w:t>
      </w:r>
    </w:p>
    <w:p w14:paraId="471CB9D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10.保证中标之后密切配合采购人开展工作，接受采购人的监督管理。</w:t>
      </w:r>
    </w:p>
    <w:p w14:paraId="7758AA5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11.保证按招标采购文件及采购合同约定的原则处理采购调整事宜，不发生签署采购合同之后恶意索赔的行为。</w:t>
      </w:r>
    </w:p>
    <w:p w14:paraId="02C679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12.保证不发生商业贿赂行为，不进行可能影响招投标、评标、定标过程公平、公正的任何不正当活动。</w:t>
      </w:r>
    </w:p>
    <w:p w14:paraId="3A481B6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本投标人在规定的报价有效期限内（本项目投标有效期为60日），将受采购文件的约束并履行投标文件的承诺。</w:t>
      </w:r>
    </w:p>
    <w:p w14:paraId="7D28B30D">
      <w:pPr>
        <w:rPr>
          <w:rFonts w:hint="eastAsia" w:asciiTheme="minorEastAsia" w:hAnsiTheme="minorEastAsia" w:eastAsiaTheme="minorEastAsia" w:cstheme="minorEastAsia"/>
          <w:sz w:val="21"/>
          <w:szCs w:val="21"/>
          <w:lang w:eastAsia="zh-CN"/>
        </w:rPr>
      </w:pPr>
    </w:p>
    <w:p w14:paraId="42429BB6">
      <w:pPr>
        <w:rPr>
          <w:rFonts w:hint="eastAsia" w:asciiTheme="minorEastAsia" w:hAnsiTheme="minorEastAsia" w:eastAsiaTheme="minorEastAsia" w:cstheme="minorEastAsia"/>
          <w:sz w:val="21"/>
          <w:szCs w:val="21"/>
          <w:lang w:eastAsia="zh-CN"/>
        </w:rPr>
      </w:pPr>
    </w:p>
    <w:p w14:paraId="29B32C1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投标人法定代表人（或法定代表人授权代表）签字：</w:t>
      </w:r>
    </w:p>
    <w:p w14:paraId="6B6D1C6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投标人名称（签章）：</w:t>
      </w:r>
    </w:p>
    <w:p w14:paraId="246763E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日期：   年   月   日</w:t>
      </w:r>
    </w:p>
    <w:p w14:paraId="12A5B811">
      <w:pPr>
        <w:rPr>
          <w:rFonts w:hint="eastAsia" w:asciiTheme="minorEastAsia" w:hAnsiTheme="minorEastAsia" w:eastAsiaTheme="minorEastAsia" w:cstheme="minorEastAsia"/>
          <w:sz w:val="21"/>
          <w:szCs w:val="21"/>
          <w:lang w:eastAsia="zh-CN"/>
        </w:rPr>
      </w:pPr>
    </w:p>
    <w:p w14:paraId="2EE88E8A">
      <w:pPr>
        <w:pStyle w:val="2"/>
        <w:rPr>
          <w:rFonts w:hint="eastAsia" w:asciiTheme="minorEastAsia" w:hAnsiTheme="minorEastAsia" w:eastAsiaTheme="minorEastAsia" w:cstheme="minorEastAsia"/>
          <w:sz w:val="21"/>
          <w:szCs w:val="21"/>
          <w:lang w:eastAsia="zh-CN"/>
        </w:rPr>
      </w:pPr>
    </w:p>
    <w:p w14:paraId="2625AC3B">
      <w:pPr>
        <w:rPr>
          <w:rFonts w:hint="eastAsia" w:asciiTheme="minorEastAsia" w:hAnsiTheme="minorEastAsia" w:eastAsiaTheme="minorEastAsia" w:cstheme="minorEastAsia"/>
          <w:sz w:val="21"/>
          <w:szCs w:val="21"/>
          <w:lang w:eastAsia="zh-CN"/>
        </w:rPr>
      </w:pPr>
    </w:p>
    <w:p w14:paraId="46111D93">
      <w:pPr>
        <w:pStyle w:val="2"/>
        <w:rPr>
          <w:rFonts w:hint="eastAsia" w:asciiTheme="minorEastAsia" w:hAnsiTheme="minorEastAsia" w:eastAsiaTheme="minorEastAsia" w:cstheme="minorEastAsia"/>
          <w:sz w:val="21"/>
          <w:szCs w:val="21"/>
          <w:lang w:eastAsia="zh-CN"/>
        </w:rPr>
      </w:pPr>
    </w:p>
    <w:p w14:paraId="6046B928">
      <w:pPr>
        <w:rPr>
          <w:rFonts w:hint="eastAsia" w:asciiTheme="minorEastAsia" w:hAnsiTheme="minorEastAsia" w:eastAsiaTheme="minorEastAsia" w:cstheme="minorEastAsia"/>
          <w:sz w:val="21"/>
          <w:szCs w:val="21"/>
          <w:lang w:eastAsia="zh-CN"/>
        </w:rPr>
      </w:pPr>
    </w:p>
    <w:p w14:paraId="221A2910">
      <w:pPr>
        <w:pStyle w:val="2"/>
        <w:rPr>
          <w:rFonts w:hint="eastAsia"/>
        </w:rPr>
      </w:pPr>
    </w:p>
    <w:p w14:paraId="579AF386">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50560E8-F300-4EDC-A65B-9F00E3BB49DE}"/>
  </w:font>
  <w:font w:name="Arial">
    <w:panose1 w:val="020B0604020202020204"/>
    <w:charset w:val="01"/>
    <w:family w:val="swiss"/>
    <w:pitch w:val="default"/>
    <w:sig w:usb0="E0002EFF" w:usb1="C000785B" w:usb2="00000009" w:usb3="00000000" w:csb0="400001FF" w:csb1="FFFF0000"/>
    <w:embedRegular r:id="rId2" w:fontKey="{B13FFE65-3BD8-475E-B655-A694AD79AC46}"/>
  </w:font>
  <w:font w:name="黑体">
    <w:panose1 w:val="02010609060101010101"/>
    <w:charset w:val="86"/>
    <w:family w:val="auto"/>
    <w:pitch w:val="default"/>
    <w:sig w:usb0="800002BF" w:usb1="38CF7CFA" w:usb2="00000016" w:usb3="00000000" w:csb0="00040001" w:csb1="00000000"/>
    <w:embedRegular r:id="rId3" w:fontKey="{BC7B8816-8BB3-4259-93B2-66E8880E89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794476C-B1B5-4AE7-BE09-A45B691DF701}"/>
  </w:font>
  <w:font w:name="仿宋_GB2312">
    <w:altName w:val="仿宋"/>
    <w:panose1 w:val="02010609030101010101"/>
    <w:charset w:val="86"/>
    <w:family w:val="modern"/>
    <w:pitch w:val="default"/>
    <w:sig w:usb0="00000000" w:usb1="00000000" w:usb2="00000000" w:usb3="00000000" w:csb0="00040000" w:csb1="00000000"/>
    <w:embedRegular r:id="rId5" w:fontKey="{E8E5ABC6-70D9-4F83-804B-3C135AB9D548}"/>
  </w:font>
  <w:font w:name="仿宋">
    <w:panose1 w:val="02010609060101010101"/>
    <w:charset w:val="86"/>
    <w:family w:val="auto"/>
    <w:pitch w:val="default"/>
    <w:sig w:usb0="800002BF" w:usb1="38CF7CFA" w:usb2="00000016" w:usb3="00000000" w:csb0="00040001" w:csb1="00000000"/>
    <w:embedRegular r:id="rId6" w:fontKey="{56C90D57-DD23-484E-AA47-3245F04BF4F2}"/>
  </w:font>
  <w:font w:name="ˎ̥">
    <w:altName w:val="Times New Roman"/>
    <w:panose1 w:val="00000000000000000000"/>
    <w:charset w:val="00"/>
    <w:family w:val="roman"/>
    <w:pitch w:val="default"/>
    <w:sig w:usb0="00000000" w:usb1="00000000" w:usb2="00000000" w:usb3="00000000" w:csb0="00040001" w:csb1="00000000"/>
    <w:embedRegular r:id="rId7" w:fontKey="{08FDB346-53E6-4B35-8087-CBE915F4E390}"/>
  </w:font>
  <w:font w:name="楷体">
    <w:panose1 w:val="02010609060101010101"/>
    <w:charset w:val="86"/>
    <w:family w:val="auto"/>
    <w:pitch w:val="default"/>
    <w:sig w:usb0="800002BF" w:usb1="38CF7CFA" w:usb2="00000016" w:usb3="00000000" w:csb0="00040001" w:csb1="00000000"/>
    <w:embedRegular r:id="rId8" w:fontKey="{063E2C82-9F7D-47CB-AE12-2411E039B3C6}"/>
  </w:font>
  <w:font w:name="楷体_GB2312">
    <w:altName w:val="楷体"/>
    <w:panose1 w:val="02010609030101010101"/>
    <w:charset w:val="86"/>
    <w:family w:val="modern"/>
    <w:pitch w:val="default"/>
    <w:sig w:usb0="00000000" w:usb1="00000000" w:usb2="00000000" w:usb3="00000000" w:csb0="00040000" w:csb1="00000000"/>
    <w:embedRegular r:id="rId9" w:fontKey="{B0D9E825-AD06-4A25-9992-423FABE608D5}"/>
  </w:font>
  <w:font w:name="华文细黑">
    <w:altName w:val="微软雅黑"/>
    <w:panose1 w:val="02010600040101010101"/>
    <w:charset w:val="86"/>
    <w:family w:val="auto"/>
    <w:pitch w:val="default"/>
    <w:sig w:usb0="00000000" w:usb1="00000000" w:usb2="00000010" w:usb3="00000000" w:csb0="0004009F" w:csb1="00000000"/>
    <w:embedRegular r:id="rId10" w:fontKey="{2EB11F14-2407-43A2-9283-CB82BE2E6DDA}"/>
  </w:font>
  <w:font w:name="汉仪中黑简">
    <w:panose1 w:val="02010600000101010101"/>
    <w:charset w:val="86"/>
    <w:family w:val="auto"/>
    <w:pitch w:val="default"/>
    <w:sig w:usb0="00000001" w:usb1="080E0800" w:usb2="00000002" w:usb3="00000000" w:csb0="00040000" w:csb1="00000000"/>
    <w:embedRegular r:id="rId11" w:fontKey="{FD1E792E-D939-4FC5-9721-F360D8AD378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3B1C">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D1A44">
                          <w:pPr>
                            <w:pStyle w:val="4"/>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DD1A44">
                    <w:pPr>
                      <w:pStyle w:val="4"/>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751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FD5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DA68">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DEE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BBFD">
    <w:pPr>
      <w:spacing w:line="500" w:lineRule="exact"/>
      <w:jc w:val="center"/>
      <w:rPr>
        <w:sz w:val="21"/>
        <w:szCs w:val="21"/>
        <w:lang w:val="en-US"/>
      </w:rPr>
    </w:pPr>
    <w:r>
      <w:rPr>
        <w:rFonts w:hint="eastAsia" w:ascii="宋体" w:hAnsi="宋体" w:cs="宋体"/>
        <w:bCs/>
        <w:sz w:val="21"/>
        <w:szCs w:val="21"/>
        <w:lang w:eastAsia="zh-CN"/>
      </w:rPr>
      <w:t>中山市古镇人民医院基于价值医疗的战略品牌管理体系建立项目（第一期）采购项目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0BAB">
    <w:pPr>
      <w:spacing w:line="500" w:lineRule="exact"/>
      <w:ind w:left="560" w:hanging="420" w:hangingChars="20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中山市古镇人民医院基于价值医疗的战略品牌管理体系建立项目（第一期）采购项目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6309">
    <w:pPr>
      <w:spacing w:line="500" w:lineRule="exact"/>
      <w:ind w:left="420" w:hanging="420" w:hangingChars="200"/>
      <w:jc w:val="both"/>
      <w:rPr>
        <w:rFonts w:hint="eastAsia"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AB873">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6AB873">
                    <w:pPr>
                      <w:pStyle w:val="5"/>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69F0F0F0">
    <w:pPr>
      <w:spacing w:line="500" w:lineRule="exact"/>
      <w:jc w:val="both"/>
      <w:rPr>
        <w:rFonts w:hint="eastAsia" w:ascii="楷体" w:hAnsi="楷体" w:eastAsia="楷体" w:cs="楷体"/>
        <w:b/>
        <w:spacing w:val="80"/>
        <w:sz w:val="44"/>
        <w:szCs w:val="44"/>
      </w:rPr>
    </w:pPr>
  </w:p>
  <w:p w14:paraId="0B544BC7">
    <w:pPr>
      <w:pStyle w:val="5"/>
      <w:jc w:val="left"/>
      <w:rPr>
        <w:rFonts w:ascii="楷体_GB2312" w:hAnsi="华文细黑" w:eastAsia="楷体_GB2312"/>
        <w:b/>
        <w:color w:val="0000F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D8CB"/>
    <w:multiLevelType w:val="singleLevel"/>
    <w:tmpl w:val="A117D8CB"/>
    <w:lvl w:ilvl="0" w:tentative="0">
      <w:start w:val="1"/>
      <w:numFmt w:val="decimal"/>
      <w:suff w:val="space"/>
      <w:lvlText w:val="%1."/>
      <w:lvlJc w:val="left"/>
    </w:lvl>
  </w:abstractNum>
  <w:abstractNum w:abstractNumId="1">
    <w:nsid w:val="4A8C4173"/>
    <w:multiLevelType w:val="multilevel"/>
    <w:tmpl w:val="4A8C4173"/>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AFEB178"/>
    <w:multiLevelType w:val="singleLevel"/>
    <w:tmpl w:val="5AFEB178"/>
    <w:lvl w:ilvl="0" w:tentative="0">
      <w:start w:val="1"/>
      <w:numFmt w:val="decimal"/>
      <w:suff w:val="space"/>
      <w:lvlText w:val="%1."/>
      <w:lvlJc w:val="left"/>
    </w:lvl>
  </w:abstractNum>
  <w:abstractNum w:abstractNumId="3">
    <w:nsid w:val="77357F92"/>
    <w:multiLevelType w:val="multilevel"/>
    <w:tmpl w:val="77357F9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998443"/>
    <w:multiLevelType w:val="singleLevel"/>
    <w:tmpl w:val="7D998443"/>
    <w:lvl w:ilvl="0" w:tentative="0">
      <w:start w:val="3"/>
      <w:numFmt w:val="chineseCounting"/>
      <w:suff w:val="nothing"/>
      <w:lvlText w:val="%1、"/>
      <w:lvlJc w:val="left"/>
      <w:rPr>
        <w:rFonts w:hint="eastAsia"/>
        <w:b/>
        <w:bCs/>
      </w:rPr>
    </w:lvl>
  </w:abstractNum>
  <w:abstractNum w:abstractNumId="5">
    <w:nsid w:val="7EE95055"/>
    <w:multiLevelType w:val="singleLevel"/>
    <w:tmpl w:val="7EE95055"/>
    <w:lvl w:ilvl="0" w:tentative="0">
      <w:start w:val="1"/>
      <w:numFmt w:val="decimal"/>
      <w:suff w:val="nothing"/>
      <w:lvlText w:val="%1、"/>
      <w:lvlJc w:val="left"/>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DZkMmJmMTQ4MjA0MGJhYTE5YWU0MmRhOGFmZWQifQ=="/>
  </w:docVars>
  <w:rsids>
    <w:rsidRoot w:val="00000000"/>
    <w:rsid w:val="195762EC"/>
    <w:rsid w:val="1C6F37E0"/>
    <w:rsid w:val="28AF75CC"/>
    <w:rsid w:val="2F701C30"/>
    <w:rsid w:val="3E4D7AA0"/>
    <w:rsid w:val="4254382B"/>
    <w:rsid w:val="4677009C"/>
    <w:rsid w:val="4AC52F5E"/>
    <w:rsid w:val="4F047B58"/>
    <w:rsid w:val="526038F8"/>
    <w:rsid w:val="534C5B42"/>
    <w:rsid w:val="546A2AB4"/>
    <w:rsid w:val="56616E1C"/>
    <w:rsid w:val="5C52505C"/>
    <w:rsid w:val="5D8D1914"/>
    <w:rsid w:val="5F0A3824"/>
    <w:rsid w:val="67382334"/>
    <w:rsid w:val="69952204"/>
    <w:rsid w:val="6A31136A"/>
    <w:rsid w:val="71F11C68"/>
    <w:rsid w:val="76AC4804"/>
    <w:rsid w:val="7D2A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3">
    <w:name w:val="Plain Text"/>
    <w:basedOn w:val="1"/>
    <w:qFormat/>
    <w:uiPriority w:val="0"/>
    <w:pPr>
      <w:widowControl w:val="0"/>
      <w:jc w:val="both"/>
    </w:pPr>
    <w:rPr>
      <w:rFonts w:ascii="宋体" w:hAnsi="Courier New"/>
      <w:kern w:val="2"/>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Body Text First Indent"/>
    <w:basedOn w:val="1"/>
    <w:qFormat/>
    <w:uiPriority w:val="0"/>
    <w:pPr>
      <w:widowControl/>
      <w:autoSpaceDE/>
      <w:autoSpaceDN/>
      <w:adjustRightInd/>
      <w:spacing w:after="120"/>
      <w:ind w:right="0" w:firstLine="420" w:firstLineChars="100"/>
      <w:jc w:val="left"/>
    </w:pPr>
    <w:rPr>
      <w:rFonts w:ascii="Times New Roman"/>
      <w:kern w:val="0"/>
      <w:sz w:val="21"/>
      <w:szCs w:val="20"/>
      <w:lang w:val="en-US"/>
    </w:rPr>
  </w:style>
  <w:style w:type="character" w:styleId="9">
    <w:name w:val="page number"/>
    <w:basedOn w:val="8"/>
    <w:qFormat/>
    <w:uiPriority w:val="0"/>
  </w:style>
  <w:style w:type="paragraph" w:customStyle="1" w:styleId="10">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11">
    <w:name w:val="标题1"/>
    <w:basedOn w:val="1"/>
    <w:qFormat/>
    <w:uiPriority w:val="0"/>
    <w:pPr>
      <w:spacing w:line="360" w:lineRule="auto"/>
      <w:jc w:val="center"/>
    </w:pPr>
    <w:rPr>
      <w:rFonts w:ascii="黑体" w:eastAsia="黑体"/>
      <w:b/>
      <w:sz w:val="44"/>
    </w:rPr>
  </w:style>
  <w:style w:type="paragraph" w:customStyle="1" w:styleId="12">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10103</Words>
  <Characters>10481</Characters>
  <Lines>0</Lines>
  <Paragraphs>0</Paragraphs>
  <TotalTime>4</TotalTime>
  <ScaleCrop>false</ScaleCrop>
  <LinksUpToDate>false</LinksUpToDate>
  <CharactersWithSpaces>11079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2024-09-19T07:01:00Z</dcterms:created>
  <dc:creator>Administrator</dc:creator>
  <cp:lastModifiedBy>小齐</cp:lastModifiedBy>
  <dcterms:modified xsi:type="dcterms:W3CDTF">2024-09-23T10:43:22Z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289294EC9EE5468EA768CEF4FEE316DF_12</vt:lpwstr>
  </property>
</Properties>
</file>